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8"/>
          <w:szCs w:val="28"/>
          <w:lang w:eastAsia="pl-PL"/>
        </w:rPr>
        <w:t xml:space="preserve">  </w:t>
      </w:r>
      <w:r>
        <w:rPr>
          <w:rFonts w:eastAsia="Times New Roman" w:cs="Times New Roman" w:ascii="Times New Roman" w:hAnsi="Times New Roman"/>
          <w:b/>
          <w:sz w:val="28"/>
          <w:szCs w:val="28"/>
          <w:lang w:eastAsia="pl-PL"/>
        </w:rPr>
        <w:t>SPECYFIKACJA WARUNKÓW ZAMÓWIENIA</w:t>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6"/>
          <w:szCs w:val="26"/>
          <w:lang w:eastAsia="pl-PL"/>
        </w:rPr>
        <w:t>dla zamówienia publicznego prowadzonego w trybie podstawowym,                    na podstawie art. 275 pkt 1 ustawy z 11 września 2019 r. – Prawo zamówień</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publicznych,</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o wartości poniżej 215 000 euro pod nazwą:</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mc:AlternateContent>
          <mc:Choice Requires="wps">
            <w:drawing>
              <wp:anchor behindDoc="0" distT="4445" distB="0" distL="4445" distR="0" simplePos="0" locked="0" layoutInCell="0" allowOverlap="1" relativeHeight="45" wp14:anchorId="746596B0">
                <wp:simplePos x="0" y="0"/>
                <wp:positionH relativeFrom="margin">
                  <wp:align>left</wp:align>
                </wp:positionH>
                <wp:positionV relativeFrom="paragraph">
                  <wp:posOffset>13335</wp:posOffset>
                </wp:positionV>
                <wp:extent cx="5945505" cy="1996440"/>
                <wp:effectExtent l="0" t="0" r="19050" b="24765"/>
                <wp:wrapNone/>
                <wp:docPr id="1" name="Pole tekstowe 1"/>
                <a:graphic xmlns:a="http://schemas.openxmlformats.org/drawingml/2006/main">
                  <a:graphicData uri="http://schemas.microsoft.com/office/word/2010/wordprocessingShape">
                    <wps:wsp>
                      <wps:cNvSpPr/>
                      <wps:spPr>
                        <a:xfrm>
                          <a:off x="0" y="0"/>
                          <a:ext cx="5945040" cy="1995840"/>
                        </a:xfrm>
                        <a:prstGeom prst="rect">
                          <a:avLst/>
                        </a:prstGeom>
                        <a:noFill/>
                        <a:ln w="9360">
                          <a:noFill/>
                        </a:ln>
                      </wps:spPr>
                      <wps:style>
                        <a:lnRef idx="0"/>
                        <a:fillRef idx="0"/>
                        <a:effectRef idx="0"/>
                        <a:fontRef idx="minor"/>
                      </wps:style>
                      <wps:txbx>
                        <w:txbxContent>
                          <w:p>
                            <w:pPr>
                              <w:pStyle w:val="Tretekstu"/>
                              <w:jc w:val="center"/>
                              <w:rPr>
                                <w:b/>
                                <w:b/>
                                <w:bCs/>
                                <w:sz w:val="36"/>
                                <w:szCs w:val="36"/>
                              </w:rPr>
                            </w:pPr>
                            <w:r>
                              <w:rPr>
                                <w:b/>
                                <w:bCs/>
                                <w:color w:val="000000"/>
                                <w:sz w:val="36"/>
                                <w:szCs w:val="36"/>
                              </w:rPr>
                            </w:r>
                          </w:p>
                          <w:p>
                            <w:pPr>
                              <w:pStyle w:val="Tretekstu"/>
                              <w:jc w:val="center"/>
                              <w:rPr>
                                <w:b/>
                                <w:b/>
                                <w:bCs/>
                                <w:sz w:val="28"/>
                                <w:szCs w:val="28"/>
                              </w:rPr>
                            </w:pPr>
                            <w:r>
                              <w:rPr>
                                <w:b/>
                                <w:bCs/>
                                <w:color w:val="000000"/>
                                <w:sz w:val="28"/>
                                <w:szCs w:val="28"/>
                              </w:rPr>
                            </w:r>
                          </w:p>
                          <w:p>
                            <w:pPr>
                              <w:pStyle w:val="Zawartoramki"/>
                              <w:rPr>
                                <w:b/>
                                <w:b/>
                                <w:bCs/>
                                <w:sz w:val="28"/>
                                <w:szCs w:val="28"/>
                              </w:rPr>
                            </w:pPr>
                            <w:r>
                              <w:rPr>
                                <w:b/>
                                <w:bCs/>
                                <w:color w:val="000000"/>
                                <w:sz w:val="28"/>
                                <w:szCs w:val="28"/>
                              </w:rPr>
                              <w:t>„</w:t>
                            </w:r>
                            <w:r>
                              <w:rPr>
                                <w:b/>
                                <w:bCs/>
                                <w:color w:val="000000"/>
                                <w:sz w:val="28"/>
                                <w:szCs w:val="28"/>
                              </w:rPr>
                              <w:t>Zakup wraz z dostawą pojazdów specjalnych asenizacyjnych do wywozu nieczystości ścieków”</w:t>
                            </w:r>
                          </w:p>
                          <w:p>
                            <w:pPr>
                              <w:pStyle w:val="Zawartoramki"/>
                              <w:spacing w:before="0" w:after="120"/>
                              <w:jc w:val="center"/>
                              <w:rPr>
                                <w:color w:val="000000"/>
                              </w:rPr>
                            </w:pPr>
                            <w:r>
                              <w:rPr>
                                <w:color w:val="000000"/>
                              </w:rPr>
                            </w:r>
                          </w:p>
                        </w:txbxContent>
                      </wps:txbx>
                      <wps:bodyPr>
                        <a:noAutofit/>
                      </wps:bodyPr>
                    </wps:wsp>
                  </a:graphicData>
                </a:graphic>
              </wp:anchor>
            </w:drawing>
          </mc:Choice>
          <mc:Fallback>
            <w:pict>
              <v:rect id="shape_0" ID="Pole tekstowe 1" path="m0,0l-2147483645,0l-2147483645,-2147483646l0,-2147483646xe" stroked="f" style="position:absolute;margin-left:0pt;margin-top:1.05pt;width:468.05pt;height:157.1pt;mso-wrap-style:square;v-text-anchor:top;mso-position-horizontal:left;mso-position-horizontal-relative:margin" wp14:anchorId="746596B0">
                <v:fill o:detectmouseclick="t" on="false"/>
                <v:stroke color="#3465a4" weight="9360" joinstyle="miter" endcap="flat"/>
                <v:textbox>
                  <w:txbxContent>
                    <w:p>
                      <w:pPr>
                        <w:pStyle w:val="Tretekstu"/>
                        <w:jc w:val="center"/>
                        <w:rPr>
                          <w:b/>
                          <w:b/>
                          <w:bCs/>
                          <w:sz w:val="36"/>
                          <w:szCs w:val="36"/>
                        </w:rPr>
                      </w:pPr>
                      <w:r>
                        <w:rPr>
                          <w:b/>
                          <w:bCs/>
                          <w:color w:val="000000"/>
                          <w:sz w:val="36"/>
                          <w:szCs w:val="36"/>
                        </w:rPr>
                      </w:r>
                    </w:p>
                    <w:p>
                      <w:pPr>
                        <w:pStyle w:val="Tretekstu"/>
                        <w:jc w:val="center"/>
                        <w:rPr>
                          <w:b/>
                          <w:b/>
                          <w:bCs/>
                          <w:sz w:val="28"/>
                          <w:szCs w:val="28"/>
                        </w:rPr>
                      </w:pPr>
                      <w:r>
                        <w:rPr>
                          <w:b/>
                          <w:bCs/>
                          <w:color w:val="000000"/>
                          <w:sz w:val="28"/>
                          <w:szCs w:val="28"/>
                        </w:rPr>
                      </w:r>
                    </w:p>
                    <w:p>
                      <w:pPr>
                        <w:pStyle w:val="Zawartoramki"/>
                        <w:rPr>
                          <w:b/>
                          <w:b/>
                          <w:bCs/>
                          <w:sz w:val="28"/>
                          <w:szCs w:val="28"/>
                        </w:rPr>
                      </w:pPr>
                      <w:r>
                        <w:rPr>
                          <w:b/>
                          <w:bCs/>
                          <w:color w:val="000000"/>
                          <w:sz w:val="28"/>
                          <w:szCs w:val="28"/>
                        </w:rPr>
                        <w:t>„</w:t>
                      </w:r>
                      <w:r>
                        <w:rPr>
                          <w:b/>
                          <w:bCs/>
                          <w:color w:val="000000"/>
                          <w:sz w:val="28"/>
                          <w:szCs w:val="28"/>
                        </w:rPr>
                        <w:t>Zakup wraz z dostawą pojazdów specjalnych asenizacyjnych do wywozu nieczystości ścieków”</w:t>
                      </w:r>
                    </w:p>
                    <w:p>
                      <w:pPr>
                        <w:pStyle w:val="Zawartoramki"/>
                        <w:spacing w:before="0" w:after="120"/>
                        <w:jc w:val="center"/>
                        <w:rPr>
                          <w:color w:val="000000"/>
                        </w:rPr>
                      </w:pPr>
                      <w:r>
                        <w:rPr>
                          <w:color w:val="000000"/>
                        </w:rPr>
                      </w:r>
                    </w:p>
                  </w:txbxContent>
                </v:textbox>
                <w10:wrap type="none"/>
              </v:rect>
            </w:pict>
          </mc:Fallback>
        </mc:AlternateContent>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pPr w:bottomFromText="0" w:horzAnchor="margin" w:leftFromText="141" w:rightFromText="141" w:tblpX="0" w:tblpY="1231" w:topFromText="0" w:vertAnchor="text"/>
        <w:tblW w:w="9345"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5050"/>
        <w:gridCol w:w="4294"/>
      </w:tblGrid>
      <w:tr>
        <w:trPr>
          <w:trHeight w:val="1867" w:hRule="atLeast"/>
        </w:trPr>
        <w:tc>
          <w:tcPr>
            <w:tcW w:w="5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284"/>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t>Symbol /Numer sprawy:</w:t>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Znak postępowania: ZO.OS.22.2022</w:t>
            </w:r>
          </w:p>
          <w:p>
            <w:pPr>
              <w:pStyle w:val="Normal"/>
              <w:keepNext w:val="true"/>
              <w:keepLines/>
              <w:widowControl w:val="false"/>
              <w:numPr>
                <w:ilvl w:val="0"/>
                <w:numId w:val="0"/>
              </w:numPr>
              <w:spacing w:lineRule="auto" w:line="240" w:before="200" w:after="0"/>
              <w:ind w:left="0" w:firstLine="284"/>
              <w:jc w:val="center"/>
              <w:outlineLvl w:val="1"/>
              <w:rPr>
                <w:rFonts w:ascii="Times New Roman" w:hAnsi="Times New Roman" w:eastAsia="Calibri Light" w:cs="Calibri Light"/>
                <w:b/>
                <w:b/>
                <w:bCs/>
              </w:rPr>
            </w:pPr>
            <w:r>
              <w:rPr>
                <w:rFonts w:eastAsia="Calibri Light" w:cs="Calibri Light" w:ascii="Times New Roman" w:hAnsi="Times New Roman"/>
                <w:b/>
                <w:bCs/>
              </w:rPr>
            </w:r>
          </w:p>
        </w:tc>
        <w:tc>
          <w:tcPr>
            <w:tcW w:w="429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Times New Roman" w:cs="Times New Roman"/>
          <w:sz w:val="24"/>
          <w:szCs w:val="24"/>
          <w:lang w:eastAsia="pl-PL"/>
        </w:rPr>
      </w:pPr>
      <w:r>
        <w:rPr>
          <w:rFonts w:eastAsia="Calibri Light" w:cs="Times New Roman" w:ascii="Times New Roman" w:hAnsi="Times New Roman"/>
          <w:b/>
        </w:rPr>
        <w:t>Spis treści:</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Rozdział I </w:t>
      </w:r>
      <w:r>
        <w:rPr>
          <w:rFonts w:eastAsia="Calibri Light" w:cs="Times New Roman" w:ascii="Times New Roman" w:hAnsi="Times New Roman"/>
          <w:bCs/>
        </w:rPr>
        <w:t xml:space="preserve">– </w:t>
      </w:r>
      <w:r>
        <w:rPr>
          <w:rFonts w:eastAsia="Calibri Light" w:cs="Times New Roman" w:ascii="Times New Roman" w:hAnsi="Times New Roman"/>
        </w:rPr>
        <w:t>Informacje ogólne</w:t>
      </w:r>
    </w:p>
    <w:p>
      <w:pPr>
        <w:pStyle w:val="Normal"/>
        <w:numPr>
          <w:ilvl w:val="0"/>
          <w:numId w:val="56"/>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Nazwa (firma) oraz adres Zamawiającego</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Tryb udzielenia zamówienia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Wykonawcy/podwykonawcy/podmioty trzecie udostępniające wykonawcy swój potencjał</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Komunikacja w postępowaniu</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Wizja lokalna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Podział zamówienia na części</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Oferty wariantowe</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Katalogi elektroniczne </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Umowa ramowa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Aukcja elektroniczna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Zamówienia, o których mowa w art. 214 ust. 1 pkt 7 i 8 ustawy Pzp</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Rozliczenia w walutach obcych</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Zwrot kosztów udziału w postępowaniu</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Zaliczki na poczet udzielenia zamówienia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Unieważnienie postępowania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Pouczenie o środkach ochrony prawnej</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Ochrona danych osobowych zebranych przez Zamawiającego w toku postępowania</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br/>
        <w:t xml:space="preserve">Rozdział II </w:t>
      </w:r>
      <w:r>
        <w:rPr>
          <w:rFonts w:eastAsia="Calibri Light" w:cs="Times New Roman" w:ascii="Times New Roman" w:hAnsi="Times New Roman"/>
          <w:bCs/>
        </w:rPr>
        <w:t xml:space="preserve">– </w:t>
      </w:r>
      <w:r>
        <w:rPr>
          <w:rFonts w:eastAsia="Calibri Light" w:cs="Times New Roman" w:ascii="Times New Roman" w:hAnsi="Times New Roman"/>
        </w:rPr>
        <w:t>Wymagania stawiane wykonawcy</w:t>
      </w:r>
    </w:p>
    <w:p>
      <w:pPr>
        <w:pStyle w:val="Normal"/>
        <w:numPr>
          <w:ilvl w:val="0"/>
          <w:numId w:val="57"/>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Przedmiot zamówienia</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Dostawa</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Rozwiązania równoważne</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zatrudniania przez wykonawcę lub podwykonawcę osób na podstawie stosunku pracy</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zatrudnienia osób, o których mowa w art. 96 ust. 2 pkt 2 ustawy Pzp</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przedmiotowych środkach dowodowych</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Termin wykonania zamówienia </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warunkach udziału w postępowaniu o udzielenie zamówienia</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Podstawy wykluczenia</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podmiotowych i przedmiotowych środków dowodowych</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dotyczące wadium</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Sposób przygotowania ofert </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sposobu obliczenia ceny</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br/>
        <w:t xml:space="preserve">Rozdział III </w:t>
      </w:r>
      <w:r>
        <w:rPr>
          <w:rFonts w:eastAsia="Calibri Light" w:cs="Times New Roman" w:ascii="Times New Roman" w:hAnsi="Times New Roman"/>
          <w:bCs/>
        </w:rPr>
        <w:t xml:space="preserve">– </w:t>
      </w:r>
      <w:r>
        <w:rPr>
          <w:rFonts w:eastAsia="Calibri Light" w:cs="Times New Roman" w:ascii="Times New Roman" w:hAnsi="Times New Roman"/>
        </w:rPr>
        <w:t>Informacje o przebiegu postępowania</w:t>
      </w:r>
    </w:p>
    <w:p>
      <w:pPr>
        <w:pStyle w:val="Normal"/>
        <w:numPr>
          <w:ilvl w:val="0"/>
          <w:numId w:val="58"/>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porozumiewania się Zamawiającego z wykonawcami</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oraz termin składania ofert</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otwarcia ofert</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związania ofertą</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kryteriów oceny ofert wraz z podaniem wag tych kryteriów i sposobu oceny ofert</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Zabezpieczenie należytego wykonania umowy </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Informacje o formalnościach, jakie muszą zostać dopełnione po wyborze oferty w celu zawarcia umowy w sprawie zamówienia publicznego</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załączników do SWZ</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Rozdział I – Informacje ogólne</w:t>
      </w:r>
    </w:p>
    <w:p>
      <w:pPr>
        <w:pStyle w:val="Normal"/>
        <w:numPr>
          <w:ilvl w:val="0"/>
          <w:numId w:val="59"/>
        </w:numPr>
        <w:shd w:val="clear" w:color="auto" w:fill="EDEDED" w:themeFill="accent3" w:themeFillTint="33"/>
        <w:spacing w:lineRule="auto" w:line="240" w:before="0" w:after="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Nazwa (firma) oraz adres Zamawiającego</w:t>
      </w:r>
    </w:p>
    <w:p>
      <w:pPr>
        <w:pStyle w:val="Normal"/>
        <w:numPr>
          <w:ilvl w:val="0"/>
          <w:numId w:val="60"/>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Nazwa zamawiającego: Gmina Żórawina działająca przez:</w:t>
      </w:r>
    </w:p>
    <w:p>
      <w:pPr>
        <w:pStyle w:val="Normal"/>
        <w:spacing w:lineRule="auto" w:line="240" w:before="0" w:after="0"/>
        <w:ind w:left="358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Gminny Zakład Gospodarki Komunalnej w Żórawinie</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Adres zamawiającego: </w:t>
        <w:tab/>
        <w:t xml:space="preserve"> ul. Młyńska 9, Węgry</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Kod miejscowości: </w:t>
        <w:tab/>
        <w:t xml:space="preserve"> 55-020 Żórawina</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NIP: 8961426299; REGON 020473740</w:t>
      </w:r>
    </w:p>
    <w:p>
      <w:pPr>
        <w:pStyle w:val="Normal"/>
        <w:spacing w:lineRule="auto" w:line="240" w:before="0" w:after="0"/>
        <w:ind w:left="7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Adres strony internetowej: </w:t>
      </w:r>
      <w:hyperlink r:id="rId3">
        <w:r>
          <w:rPr>
            <w:rStyle w:val="Czeinternetowe"/>
            <w:rFonts w:eastAsia="Times New Roman" w:cs="Times New Roman" w:ascii="Times New Roman" w:hAnsi="Times New Roman"/>
            <w:color w:val="000080"/>
            <w:u w:val="single"/>
            <w:lang w:eastAsia="pl-PL"/>
          </w:rPr>
          <w:t>https://wodociagizorawina.pl</w:t>
        </w:r>
      </w:hyperlink>
    </w:p>
    <w:p>
      <w:pPr>
        <w:pStyle w:val="Normal"/>
        <w:widowControl/>
        <w:numPr>
          <w:ilvl w:val="0"/>
          <w:numId w:val="97"/>
        </w:numPr>
        <w:suppressAutoHyphens w:val="true"/>
        <w:bidi w:val="0"/>
        <w:spacing w:lineRule="auto" w:line="240" w:before="0" w:after="0"/>
        <w:ind w:left="794" w:right="0" w:hanging="34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Rodzaj Zamawiającego: Jednostka samorządu terytorialnego</w:t>
      </w:r>
    </w:p>
    <w:p>
      <w:pPr>
        <w:pStyle w:val="Normal"/>
        <w:widowControl/>
        <w:numPr>
          <w:ilvl w:val="0"/>
          <w:numId w:val="97"/>
        </w:numPr>
        <w:suppressAutoHyphens w:val="true"/>
        <w:bidi w:val="0"/>
        <w:spacing w:lineRule="auto" w:line="240" w:before="0" w:after="0"/>
        <w:ind w:left="794" w:right="0" w:hanging="34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nie dokonuje zakupu w imieniu innych instytucji zamawiających.</w:t>
      </w:r>
    </w:p>
    <w:p>
      <w:pPr>
        <w:pStyle w:val="Normal"/>
        <w:widowControl/>
        <w:numPr>
          <w:ilvl w:val="0"/>
          <w:numId w:val="97"/>
        </w:numPr>
        <w:suppressAutoHyphens w:val="true"/>
        <w:bidi w:val="0"/>
        <w:spacing w:lineRule="auto" w:line="240" w:before="0" w:after="0"/>
        <w:ind w:left="794" w:right="0" w:hanging="34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Elektroniczna Skrzynka Podawcza: /</w:t>
      </w:r>
      <w:r>
        <w:rPr>
          <w:rFonts w:eastAsia="Times New Roman" w:cs="Arial" w:ascii="Times New Roman" w:hAnsi="Times New Roman"/>
          <w:color w:val="4472C4" w:themeColor="accent1"/>
          <w:sz w:val="24"/>
          <w:szCs w:val="20"/>
          <w:shd w:fill="FFFFFF" w:val="clear"/>
          <w:lang w:eastAsia="pl-PL"/>
        </w:rPr>
        <w:t>GZGK (/GZGK/SkrytkaESP)</w:t>
      </w:r>
      <w:r>
        <w:rPr>
          <w:rFonts w:eastAsia="Times New Roman" w:cs="Times New Roman" w:ascii="Times New Roman" w:hAnsi="Times New Roman"/>
          <w:color w:val="4472C4" w:themeColor="accent1"/>
          <w:lang w:eastAsia="pl-PL"/>
        </w:rPr>
        <w:t xml:space="preserve"> </w:t>
      </w:r>
      <w:r>
        <w:rPr>
          <w:rFonts w:eastAsia="Times New Roman" w:cs="Times New Roman" w:ascii="Times New Roman" w:hAnsi="Times New Roman"/>
          <w:lang w:eastAsia="pl-PL"/>
        </w:rPr>
        <w:t xml:space="preserve">znajdująca się na platformie ePUAP pod adresem </w:t>
      </w:r>
      <w:hyperlink r:id="rId4">
        <w:r>
          <w:rPr>
            <w:rStyle w:val="ListLabel280"/>
            <w:rFonts w:eastAsia="Calibri Light" w:cs="Times New Roman" w:ascii="Times New Roman" w:hAnsi="Times New Roman"/>
            <w:color w:val="000080"/>
            <w:sz w:val="24"/>
            <w:szCs w:val="20"/>
            <w:u w:val="single"/>
            <w:lang w:eastAsia="pl-PL"/>
          </w:rPr>
          <w:t>https://epuap.gov.pl/wps/port</w:t>
        </w:r>
        <w:bookmarkStart w:id="0" w:name="_Hlk69281263"/>
        <w:bookmarkEnd w:id="0"/>
        <w:r>
          <w:rPr>
            <w:rStyle w:val="ListLabel280"/>
            <w:rFonts w:eastAsia="Calibri Light" w:cs="Times New Roman" w:ascii="Times New Roman" w:hAnsi="Times New Roman"/>
            <w:color w:val="000080"/>
            <w:sz w:val="24"/>
            <w:szCs w:val="20"/>
            <w:u w:val="single"/>
            <w:lang w:eastAsia="pl-PL"/>
          </w:rPr>
          <w:t>al</w:t>
        </w:r>
      </w:hyperlink>
      <w:r>
        <w:rPr>
          <w:rFonts w:eastAsia="Times New Roman" w:cs="Times New Roman" w:ascii="Times New Roman" w:hAnsi="Times New Roman"/>
          <w:sz w:val="24"/>
          <w:szCs w:val="20"/>
          <w:lang w:eastAsia="pl-PL"/>
        </w:rPr>
        <w:t xml:space="preserve"> </w:t>
      </w:r>
    </w:p>
    <w:p>
      <w:pPr>
        <w:pStyle w:val="Normal"/>
        <w:widowControl/>
        <w:numPr>
          <w:ilvl w:val="0"/>
          <w:numId w:val="97"/>
        </w:numPr>
        <w:suppressAutoHyphens w:val="true"/>
        <w:bidi w:val="0"/>
        <w:spacing w:lineRule="auto" w:line="240" w:before="0" w:after="0"/>
        <w:ind w:left="794" w:right="0" w:hanging="34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Adres poczty elektronicznej prowadzonego postępowania: </w:t>
      </w:r>
      <w:hyperlink r:id="rId6">
        <w:r>
          <w:rPr>
            <w:rStyle w:val="Czeinternetowe"/>
            <w:rFonts w:eastAsia="Times New Roman" w:cs="Times New Roman" w:ascii="Times New Roman" w:hAnsi="Times New Roman"/>
            <w:lang w:eastAsia="pl-PL"/>
          </w:rPr>
          <w:t>przetargi@wodociagizorawina.pl</w:t>
        </w:r>
      </w:hyperlink>
    </w:p>
    <w:p>
      <w:pPr>
        <w:pStyle w:val="Normal"/>
        <w:widowControl/>
        <w:numPr>
          <w:ilvl w:val="0"/>
          <w:numId w:val="97"/>
        </w:numPr>
        <w:suppressAutoHyphens w:val="true"/>
        <w:bidi w:val="0"/>
        <w:spacing w:lineRule="auto" w:line="240" w:before="0" w:after="0"/>
        <w:ind w:left="794" w:right="0" w:hanging="34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Adres strony internetowej prowadzonego postępowania, na której udostępniane będą zmiany i wyjaśnienia treści SWZ oraz inne dokumenty zamówienia bezpośrednio związane z postępowaniem o udzielenie zamówienia: </w:t>
      </w:r>
      <w:hyperlink r:id="rId7">
        <w:r>
          <w:rPr>
            <w:rStyle w:val="ListLabel281"/>
            <w:rFonts w:eastAsia="Times New Roman" w:cs="Times New Roman" w:ascii="Times New Roman" w:hAnsi="Times New Roman"/>
            <w:color w:val="000080"/>
            <w:u w:val="single"/>
            <w:lang w:eastAsia="pl-PL"/>
          </w:rPr>
          <w:t>https://wodociagizorawina.pl/przetargi/</w:t>
        </w:r>
      </w:hyperlink>
      <w:hyperlink r:id="rId8">
        <w:r>
          <w:rPr>
            <w:rStyle w:val="ListLabel282"/>
            <w:rFonts w:eastAsia="Times New Roman" w:cs="Times New Roman" w:ascii="Times New Roman" w:hAnsi="Times New Roman"/>
            <w:lang w:eastAsia="pl-PL"/>
          </w:rPr>
          <w:t xml:space="preserve"> </w:t>
        </w:r>
      </w:hyperlink>
    </w:p>
    <w:p>
      <w:pPr>
        <w:pStyle w:val="Normal"/>
        <w:tabs>
          <w:tab w:val="left" w:pos="708" w:leader="none"/>
        </w:tabs>
        <w:spacing w:lineRule="auto" w:line="240" w:before="0" w:after="60"/>
        <w:ind w:left="720" w:hanging="0"/>
        <w:jc w:val="both"/>
        <w:rPr>
          <w:rFonts w:ascii="Times New Roman" w:hAnsi="Times New Roman" w:eastAsia="Times New Roman" w:cs="Times New Roman"/>
          <w:sz w:val="24"/>
          <w:szCs w:val="20"/>
          <w:lang w:eastAsia="pl-PL"/>
        </w:rPr>
      </w:pPr>
      <w:r>
        <w:rPr>
          <w:rFonts w:eastAsia="Times New Roman" w:cs="Times New Roman" w:ascii="Times New Roman" w:hAnsi="Times New Roman"/>
          <w:sz w:val="24"/>
          <w:szCs w:val="20"/>
          <w:lang w:eastAsia="pl-PL"/>
        </w:rPr>
      </w:r>
    </w:p>
    <w:p>
      <w:pPr>
        <w:pStyle w:val="Normal"/>
        <w:numPr>
          <w:ilvl w:val="0"/>
          <w:numId w:val="4"/>
        </w:numPr>
        <w:shd w:val="clear" w:color="auto" w:fill="EDEDED" w:themeFill="accent3" w:themeFillTint="33"/>
        <w:spacing w:lineRule="auto" w:line="252" w:before="0" w:after="20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Tryb udzielenia zamówienia</w:t>
      </w:r>
    </w:p>
    <w:p>
      <w:pPr>
        <w:pStyle w:val="Normal"/>
        <w:numPr>
          <w:ilvl w:val="0"/>
          <w:numId w:val="61"/>
        </w:numPr>
        <w:tabs>
          <w:tab w:val="clear" w:pos="708"/>
          <w:tab w:val="left" w:pos="284" w:leader="none"/>
        </w:tabs>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Postępowanie o udzielenie zamówienia publicznego prowadzone jest </w:t>
      </w:r>
      <w:r>
        <w:rPr>
          <w:rFonts w:eastAsia="Times New Roman" w:cs="Times New Roman" w:ascii="Times New Roman" w:hAnsi="Times New Roman"/>
          <w:b/>
          <w:bCs/>
          <w:u w:val="single"/>
          <w:lang w:eastAsia="pl-PL"/>
        </w:rPr>
        <w:t xml:space="preserve">w trybie </w:t>
      </w:r>
      <w:r>
        <w:rPr>
          <w:rFonts w:eastAsia="Times New Roman" w:cs="Times New Roman" w:ascii="Times New Roman" w:hAnsi="Times New Roman"/>
          <w:b/>
          <w:bCs/>
          <w:u w:val="single"/>
        </w:rPr>
        <w:t>podstawowym</w:t>
      </w:r>
      <w:r>
        <w:rPr>
          <w:rFonts w:eastAsia="Times New Roman" w:cs="Times New Roman" w:ascii="Times New Roman" w:hAnsi="Times New Roman"/>
        </w:rPr>
        <w:t>, na podstawie art. 275 pkt 1 ustawy z 11 września 2019 r. – Prawo zamówień publicznych (</w:t>
      </w:r>
      <w:r>
        <w:rPr>
          <w:rFonts w:eastAsia="Times New Roman" w:cs="Times New Roman" w:ascii="Times New Roman" w:hAnsi="Times New Roman"/>
          <w:sz w:val="24"/>
          <w:szCs w:val="24"/>
          <w:lang w:eastAsia="pl-PL"/>
        </w:rPr>
        <w:t>Dz. U. z 2022 r. poz. 1710 z późn. zm.</w:t>
      </w:r>
      <w:r>
        <w:rPr>
          <w:rFonts w:eastAsia="Times New Roman" w:cs="Times New Roman" w:ascii="Times New Roman" w:hAnsi="Times New Roman"/>
        </w:rPr>
        <w:t>)</w:t>
      </w:r>
      <w:r>
        <w:rPr>
          <w:rFonts w:eastAsia="Times New Roman" w:cs="Times New Roman" w:ascii="Times New Roman" w:hAnsi="Times New Roman"/>
          <w:lang w:eastAsia="pl-PL"/>
        </w:rPr>
        <w:t xml:space="preserve">, zwanej dalej ustawą Pzp, </w:t>
      </w:r>
      <w:r>
        <w:rPr>
          <w:rFonts w:eastAsia="Times New Roman" w:cs="Times New Roman" w:ascii="Times New Roman" w:hAnsi="Times New Roman"/>
          <w:bCs/>
          <w:lang w:eastAsia="pl-PL"/>
        </w:rPr>
        <w:t>aktów wykonawczych do ustawy Pzp oraz niniejszej Specyfikacji Warunków Zamówienia.</w:t>
      </w:r>
    </w:p>
    <w:p>
      <w:pPr>
        <w:pStyle w:val="Normal"/>
        <w:numPr>
          <w:ilvl w:val="0"/>
          <w:numId w:val="5"/>
        </w:numPr>
        <w:tabs>
          <w:tab w:val="clear" w:pos="708"/>
          <w:tab w:val="left" w:pos="284" w:leader="none"/>
        </w:tabs>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Niniejsza Specyfikacja Warunków Zamówienia zwana jest w dalszej treści Specyfikacją Warunków Zamówienia, SWZ lub specyfikacją.</w:t>
      </w:r>
    </w:p>
    <w:p>
      <w:pPr>
        <w:pStyle w:val="Normal"/>
        <w:numPr>
          <w:ilvl w:val="0"/>
          <w:numId w:val="5"/>
        </w:numPr>
        <w:tabs>
          <w:tab w:val="clear" w:pos="708"/>
          <w:tab w:val="left" w:pos="284" w:leader="none"/>
        </w:tabs>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 sprawach nieuregulowanych w niniejszej  stosuje się przepisy ustawy Pzp oraz </w:t>
      </w:r>
      <w:r>
        <w:rPr>
          <w:rFonts w:eastAsia="Times New Roman" w:cs="Times New Roman" w:ascii="Times New Roman" w:hAnsi="Times New Roman"/>
          <w:bCs/>
          <w:lang w:eastAsia="pl-PL"/>
        </w:rPr>
        <w:t>aktów wykonawczych do ustawy Pzp.</w:t>
      </w:r>
    </w:p>
    <w:p>
      <w:pPr>
        <w:pStyle w:val="Normal"/>
        <w:numPr>
          <w:ilvl w:val="0"/>
          <w:numId w:val="5"/>
        </w:numPr>
        <w:tabs>
          <w:tab w:val="clear" w:pos="708"/>
          <w:tab w:val="left" w:pos="284" w:leader="none"/>
        </w:tabs>
        <w:spacing w:lineRule="auto" w:line="240" w:before="0" w:after="0"/>
        <w:ind w:left="284" w:hanging="284"/>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Wybór oferty najkorzystniejszej zostanie dokonany </w:t>
      </w:r>
      <w:r>
        <w:rPr>
          <w:rFonts w:eastAsia="Times New Roman" w:cs="Times New Roman" w:ascii="Times New Roman" w:hAnsi="Times New Roman"/>
          <w:b/>
          <w:bCs/>
          <w:u w:val="single"/>
          <w:lang w:eastAsia="pl-PL"/>
        </w:rPr>
        <w:t>bez przeprowadzenia negocjacji</w:t>
      </w:r>
      <w:r>
        <w:rPr>
          <w:rFonts w:eastAsia="Times New Roman" w:cs="Times New Roman" w:ascii="Times New Roman" w:hAnsi="Times New Roman"/>
          <w:u w:val="single"/>
          <w:lang w:eastAsia="pl-PL"/>
        </w:rPr>
        <w:t>.</w:t>
      </w:r>
    </w:p>
    <w:p>
      <w:pPr>
        <w:pStyle w:val="Normal"/>
        <w:tabs>
          <w:tab w:val="clear" w:pos="708"/>
          <w:tab w:val="left" w:pos="284" w:leader="none"/>
        </w:tabs>
        <w:spacing w:lineRule="auto" w:line="240" w:before="0" w:after="0"/>
        <w:ind w:left="720"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Wykonawcy/podwykonawcy/podmioty trzecie udostępniające wykonawcy swój potencjał</w:t>
      </w:r>
    </w:p>
    <w:p>
      <w:pPr>
        <w:pStyle w:val="ListParagraph"/>
        <w:numPr>
          <w:ilvl w:val="0"/>
          <w:numId w:val="35"/>
        </w:numPr>
        <w:suppressAutoHyphens w:val="false"/>
        <w:spacing w:before="0" w:after="120"/>
        <w:jc w:val="both"/>
        <w:rPr>
          <w:rFonts w:eastAsia="" w:eastAsiaTheme="majorEastAsia"/>
          <w:sz w:val="22"/>
          <w:szCs w:val="22"/>
          <w:lang w:eastAsia="en-US"/>
        </w:rPr>
      </w:pPr>
      <w:r>
        <w:rPr>
          <w:rFonts w:eastAsia="" w:eastAsiaTheme="majorEastAsia"/>
          <w:sz w:val="22"/>
          <w:szCs w:val="22"/>
          <w:lang w:eastAsia="en-US"/>
        </w:rPr>
        <w:t xml:space="preserve">Wykonawcą </w:t>
      </w:r>
      <w:r>
        <w:rPr>
          <w:rFonts w:eastAsia="" w:eastAsiaTheme="majorEastAsia"/>
          <w:bCs/>
          <w:sz w:val="22"/>
          <w:szCs w:val="22"/>
          <w:lang w:eastAsia="en-US"/>
        </w:rPr>
        <w:t>jest</w:t>
      </w:r>
      <w:r>
        <w:rPr>
          <w:rFonts w:eastAsia=""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numPr>
          <w:ilvl w:val="0"/>
          <w:numId w:val="35"/>
        </w:numPr>
        <w:spacing w:lineRule="auto" w:line="240" w:before="0" w:after="120"/>
        <w:jc w:val="both"/>
        <w:rPr>
          <w:rFonts w:eastAsia="" w:eastAsiaTheme="majorEastAsia"/>
        </w:rPr>
      </w:pPr>
      <w:r>
        <w:rPr>
          <w:rFonts w:eastAsia="" w:eastAsiaTheme="majorEastAsia"/>
        </w:rPr>
        <w:t xml:space="preserve">Zamawiający </w:t>
      </w:r>
      <w:r>
        <w:rPr>
          <w:rFonts w:eastAsia="" w:eastAsiaTheme="majorEastAsia"/>
          <w:b/>
          <w:bCs/>
        </w:rPr>
        <w:t>nie zastrzega</w:t>
      </w:r>
      <w:r>
        <w:rPr>
          <w:rFonts w:eastAsia="" w:eastAsiaTheme="majorEastAsia"/>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numPr>
          <w:ilvl w:val="0"/>
          <w:numId w:val="35"/>
        </w:numPr>
        <w:spacing w:lineRule="auto" w:line="240" w:before="0" w:after="0"/>
        <w:contextualSpacing/>
        <w:jc w:val="both"/>
        <w:rPr>
          <w:rFonts w:eastAsia="" w:eastAsiaTheme="majorEastAsia"/>
        </w:rPr>
      </w:pPr>
      <w:r>
        <w:rPr>
          <w:rFonts w:eastAsia="" w:eastAsiaTheme="majorEastAsia"/>
        </w:rPr>
        <w:t>Zamówienie może zostać udzielone wykonawcy, który:</w:t>
      </w:r>
    </w:p>
    <w:p>
      <w:pPr>
        <w:pStyle w:val="Normal"/>
        <w:ind w:left="360" w:hanging="0"/>
        <w:jc w:val="both"/>
        <w:rPr>
          <w:rFonts w:eastAsia="" w:eastAsiaTheme="majorEastAsia"/>
        </w:rPr>
      </w:pPr>
      <w:r>
        <w:rPr>
          <w:rFonts w:eastAsia="" w:eastAsiaTheme="majorEastAsia"/>
        </w:rPr>
        <w:t xml:space="preserve">– </w:t>
      </w:r>
      <w:r>
        <w:rPr>
          <w:rFonts w:eastAsia="" w:eastAsiaTheme="majorEastAsia"/>
        </w:rPr>
        <w:t>nie podlega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20"/>
        <w:ind w:left="360" w:hanging="0"/>
        <w:jc w:val="both"/>
        <w:rPr>
          <w:rFonts w:eastAsia="" w:eastAsiaTheme="majorEastAsia"/>
        </w:rPr>
      </w:pPr>
      <w:r>
        <w:rPr>
          <w:rFonts w:eastAsia="" w:eastAsiaTheme="majorEastAsia"/>
        </w:rPr>
        <w:t xml:space="preserve">– </w:t>
      </w:r>
      <w:r>
        <w:rPr>
          <w:rFonts w:eastAsia="" w:eastAsiaTheme="majorEastAsia"/>
        </w:rPr>
        <w:t>złożył ofertę niepodlegającą odrzuceniu na podstawie art. 226 ust. 1 ustawy Pzp.</w:t>
      </w:r>
    </w:p>
    <w:p>
      <w:pPr>
        <w:pStyle w:val="Normal"/>
        <w:numPr>
          <w:ilvl w:val="0"/>
          <w:numId w:val="35"/>
        </w:numPr>
        <w:spacing w:lineRule="auto" w:line="240" w:before="0" w:after="60"/>
        <w:jc w:val="both"/>
        <w:rPr>
          <w:rFonts w:eastAsia="" w:eastAsiaTheme="majorEastAsia"/>
          <w:b/>
          <w:b/>
          <w:bCs/>
        </w:rPr>
      </w:pPr>
      <w:r>
        <w:rPr>
          <w:rFonts w:eastAsia="" w:eastAsiaTheme="majorEastAsia"/>
          <w:b/>
        </w:rPr>
        <w:t>Wykonawcy mogą wspólnie ubiegać się o udzielenie zamówienia</w:t>
      </w:r>
      <w:r>
        <w:rPr>
          <w:rFonts w:eastAsia="" w:eastAsiaTheme="majorEastAsia"/>
        </w:rPr>
        <w:t xml:space="preserve">. </w:t>
      </w:r>
    </w:p>
    <w:p>
      <w:pPr>
        <w:pStyle w:val="Normal"/>
        <w:spacing w:before="0" w:after="160"/>
        <w:ind w:left="360" w:hanging="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takim przypadku:</w:t>
      </w:r>
    </w:p>
    <w:p>
      <w:pPr>
        <w:pStyle w:val="Normal"/>
        <w:numPr>
          <w:ilvl w:val="0"/>
          <w:numId w:val="36"/>
        </w:numPr>
        <w:spacing w:lineRule="auto" w:line="240" w:before="0" w:after="0"/>
        <w:ind w:left="567"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37"/>
        </w:numPr>
        <w:spacing w:lineRule="auto" w:line="240" w:before="0" w:after="120"/>
        <w:ind w:left="56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Wszelka korespondencja będzie prowadzona przez zamawiającego wyłącznie z pełnomocnikiem.</w:t>
      </w:r>
    </w:p>
    <w:p>
      <w:pPr>
        <w:pStyle w:val="Normal"/>
        <w:numPr>
          <w:ilvl w:val="0"/>
          <w:numId w:val="35"/>
        </w:numPr>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Podwykonawstwo</w:t>
      </w:r>
    </w:p>
    <w:p>
      <w:pPr>
        <w:pStyle w:val="Normal"/>
        <w:spacing w:before="0" w:after="60"/>
        <w:ind w:left="36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zastrzega obowiązku osobistego wykonania przez wykonawcę kluczowych zadań przedmiotowego zamówienia.</w:t>
      </w:r>
    </w:p>
    <w:p>
      <w:pPr>
        <w:pStyle w:val="Normal"/>
        <w:ind w:left="3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może powierzyć wykonanie części zamówienia podwykonawcy. Wykonawca jest zobowiązany wskazać w formularzu oferty (załącznik nr 1 do SWZ): części zamówienia, których wykonanie zamierza powierzyć podwykonawcom i podać firmy podwykonawców, o ile są już znane.</w:t>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sz w:val="24"/>
          <w:szCs w:val="24"/>
        </w:rPr>
        <w:t>Komunikacja w postępowaniu</w:t>
      </w:r>
    </w:p>
    <w:p>
      <w:pPr>
        <w:pStyle w:val="Normal"/>
        <w:numPr>
          <w:ilvl w:val="0"/>
          <w:numId w:val="0"/>
        </w:numPr>
        <w:spacing w:lineRule="auto" w:line="240" w:before="0" w:after="0"/>
        <w:ind w:left="360" w:hanging="0"/>
        <w:rPr>
          <w:rFonts w:ascii="Times New Roman" w:hAnsi="Times New Roman" w:eastAsia="Times New Roman" w:cs="Times New Roman"/>
          <w:lang w:eastAsia="pl-PL"/>
        </w:rPr>
      </w:pPr>
      <w:r>
        <w:rPr/>
      </w:r>
    </w:p>
    <w:p>
      <w:pPr>
        <w:pStyle w:val="Normal"/>
        <w:widowControl/>
        <w:numPr>
          <w:ilvl w:val="0"/>
          <w:numId w:val="0"/>
        </w:numPr>
        <w:suppressAutoHyphens w:val="true"/>
        <w:bidi w:val="0"/>
        <w:spacing w:lineRule="auto" w:line="240" w:before="0" w:after="0"/>
        <w:ind w:left="20" w:right="0" w:hanging="0"/>
        <w:jc w:val="left"/>
        <w:rPr/>
      </w:pPr>
      <w:r>
        <w:rPr>
          <w:rFonts w:eastAsia="Times New Roman" w:cs="Times New Roman" w:ascii="Times New Roman" w:hAnsi="Times New Roman"/>
          <w:lang w:eastAsia="pl-PL"/>
        </w:rPr>
        <w:t xml:space="preserve">1. </w:t>
      </w:r>
      <w:r>
        <w:rPr>
          <w:rFonts w:eastAsia="Times New Roman" w:cs="Times New Roman" w:ascii="Times New Roman" w:hAnsi="Times New Roman"/>
          <w:lang w:eastAsia="pl-PL"/>
        </w:rPr>
        <w:t xml:space="preserve">W postępowaniu o udzielenie zamówienia komunikacja między Zamawiającym, a Wykonawcami odbywa się przy użyciu miniPortalu  </w:t>
      </w:r>
      <w:hyperlink r:id="rId9">
        <w:r>
          <w:rPr>
            <w:rStyle w:val="ListLabel283"/>
            <w:rFonts w:eastAsia="Calibri Light" w:cs="Times New Roman" w:ascii="Times New Roman" w:hAnsi="Times New Roman"/>
            <w:color w:val="000080"/>
            <w:u w:val="single"/>
            <w:lang w:eastAsia="pl-PL"/>
          </w:rPr>
          <w:t>https://miniportal.uzp.gov.pl</w:t>
        </w:r>
      </w:hyperlink>
      <w:r>
        <w:rPr>
          <w:rFonts w:eastAsia="Times New Roman" w:cs="Times New Roman" w:ascii="Times New Roman" w:hAnsi="Times New Roman"/>
          <w:lang w:eastAsia="pl-PL"/>
        </w:rPr>
        <w:t xml:space="preserve">, ePUAPu </w:t>
      </w:r>
      <w:hyperlink r:id="rId10">
        <w:r>
          <w:rPr>
            <w:rStyle w:val="ListLabel283"/>
            <w:rFonts w:eastAsia="Calibri Light" w:cs="Times New Roman" w:ascii="Times New Roman" w:hAnsi="Times New Roman"/>
            <w:color w:val="000080"/>
            <w:u w:val="single"/>
            <w:lang w:eastAsia="pl-PL"/>
          </w:rPr>
          <w:t>https://epuap.gov.pl/wps/portal</w:t>
        </w:r>
      </w:hyperlink>
      <w:r>
        <w:rPr>
          <w:rFonts w:eastAsia="Times New Roman" w:cs="Times New Roman" w:ascii="Times New Roman" w:hAnsi="Times New Roman"/>
          <w:u w:val="single" w:color="000000"/>
          <w:lang w:eastAsia="pl-PL"/>
        </w:rPr>
        <w:t xml:space="preserve"> ,</w:t>
      </w:r>
      <w:r>
        <w:rPr>
          <w:rFonts w:eastAsia="Times New Roman" w:cs="Times New Roman" w:ascii="Times New Roman" w:hAnsi="Times New Roman"/>
          <w:lang w:eastAsia="pl-PL"/>
        </w:rPr>
        <w:t xml:space="preserve"> oraz poczty elektronicznej: </w:t>
      </w:r>
      <w:r>
        <w:rPr>
          <w:rFonts w:eastAsia="Times New Roman" w:cs="Times New Roman" w:ascii="Times New Roman" w:hAnsi="Times New Roman"/>
          <w:color w:val="000080"/>
          <w:u w:val="single"/>
          <w:lang w:eastAsia="pl-PL"/>
        </w:rPr>
        <w:t>przetargi@wodociagizorawina.pl</w:t>
      </w:r>
      <w:bookmarkStart w:id="1" w:name="_Hlk86059304"/>
      <w:bookmarkEnd w:id="1"/>
      <w:r>
        <w:rPr>
          <w:rFonts w:eastAsia="Times New Roman" w:cs="Times New Roman" w:ascii="Times New Roman" w:hAnsi="Times New Roman"/>
          <w:lang w:eastAsia="pl-PL"/>
        </w:rPr>
        <w:t xml:space="preserve">; </w:t>
      </w:r>
    </w:p>
    <w:p>
      <w:pPr>
        <w:pStyle w:val="Normal"/>
        <w:spacing w:lineRule="auto" w:line="240" w:before="0" w:after="0"/>
        <w:ind w:left="273" w:right="57" w:hanging="259"/>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Wnioski, zawiadomienia oraz informacje (zwanymi dalej ogólnie „korespondencją”) Zamawiający i Wykonawcy przekazują powołując się na numer ogłoszenia (BZP) lub  ID postępowania (numer identyfikacyjny postępowania generowany przez miniPortal); numerem referencyjnym postępowania można posługiwać się przy wymianie korespondencji drogą mailową:</w:t>
      </w:r>
    </w:p>
    <w:p>
      <w:pPr>
        <w:pStyle w:val="Normal"/>
        <w:spacing w:lineRule="auto" w:line="216" w:before="0" w:after="5"/>
        <w:ind w:left="424" w:right="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p>
    <w:p>
      <w:pPr>
        <w:pStyle w:val="Normal"/>
        <w:spacing w:lineRule="auto" w:line="216" w:before="0" w:after="0"/>
        <w:ind w:left="284" w:right="29" w:hanging="0"/>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1) za pośrednictwem dedykowanego formularza dostępnego na ePUAP oraz udostępnionego przez miniPortal (Formularz do komunikacji),</w:t>
      </w:r>
    </w:p>
    <w:p>
      <w:pPr>
        <w:pStyle w:val="Normal"/>
        <w:widowControl/>
        <w:suppressAutoHyphens w:val="true"/>
        <w:bidi w:val="0"/>
        <w:spacing w:lineRule="auto" w:line="216" w:before="0" w:after="5"/>
        <w:ind w:left="0" w:right="57" w:firstLine="340"/>
        <w:jc w:val="left"/>
        <w:rPr/>
      </w:pPr>
      <w:r>
        <w:rPr>
          <w:rFonts w:eastAsia="Times New Roman" w:cs="Times New Roman" w:ascii="Times New Roman" w:hAnsi="Times New Roman"/>
          <w:b/>
          <w:bCs/>
          <w:lang w:eastAsia="pl-PL"/>
        </w:rPr>
        <w:t xml:space="preserve">2) </w:t>
      </w:r>
      <w:r>
        <w:rPr>
          <w:rFonts w:eastAsia="Times New Roman" w:cs="Times New Roman" w:ascii="Times New Roman" w:hAnsi="Times New Roman"/>
          <w:b/>
          <w:bCs/>
          <w:lang w:eastAsia="pl-PL"/>
        </w:rPr>
        <w:t>drogą elektroniczną na adres: przetargi@wodociagizorawina.pl</w:t>
      </w:r>
    </w:p>
    <w:p>
      <w:pPr>
        <w:pStyle w:val="Normal"/>
        <w:spacing w:lineRule="auto" w:line="216" w:before="0" w:after="5"/>
        <w:ind w:left="284" w:right="29" w:hanging="0"/>
        <w:rPr>
          <w:rFonts w:ascii="Times New Roman" w:hAnsi="Times New Roman" w:eastAsia="Times New Roman" w:cs="Times New Roman"/>
          <w:lang w:eastAsia="pl-PL"/>
        </w:rPr>
      </w:pPr>
      <w:r>
        <w:rPr>
          <w:rFonts w:eastAsia="Times New Roman" w:cs="Times New Roman" w:ascii="Times New Roman" w:hAnsi="Times New Roman"/>
          <w:b/>
          <w:bCs/>
          <w:u w:val="single" w:color="000000"/>
          <w:lang w:eastAsia="pl-PL"/>
        </w:rPr>
        <w:t>przy czym ten sposób komunikacji nie jest właściwy dla złożenia oferty oraz dokumentów składanych wraz</w:t>
      </w:r>
      <w:r>
        <w:rPr>
          <w:rFonts w:eastAsia="Times New Roman" w:cs="Times New Roman" w:ascii="Times New Roman" w:hAnsi="Times New Roman"/>
          <w:u w:val="single" w:color="000000"/>
          <w:lang w:eastAsia="pl-PL"/>
        </w:rPr>
        <w:t xml:space="preserve"> z ofertą</w:t>
      </w:r>
      <w:r>
        <w:rPr>
          <w:rFonts w:eastAsia="Times New Roman" w:cs="Times New Roman" w:ascii="Times New Roman" w:hAnsi="Times New Roman"/>
          <w:lang w:eastAsia="pl-PL"/>
        </w:rPr>
        <w:t xml:space="preserve"> (wymagających szyfrowania), które należy składać wyłącznie w sposób wskazany w pkt 1).</w:t>
      </w:r>
    </w:p>
    <w:p>
      <w:pPr>
        <w:pStyle w:val="Normal"/>
        <w:widowControl/>
        <w:numPr>
          <w:ilvl w:val="0"/>
          <w:numId w:val="98"/>
        </w:numPr>
        <w:suppressAutoHyphens w:val="true"/>
        <w:bidi w:val="0"/>
        <w:spacing w:lineRule="auto" w:line="216" w:before="0" w:after="5"/>
        <w:ind w:left="340" w:right="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zamierzający wziąć udział w postępowaniu o udzielenie zamówienia publicznego, musi posiadać konto na ePUAP. Wykonawca posiadający konto na ePUAP ma dostęp do formularzy: złożenia, zmiany, wycofania oferty lub wniosku oraz do formularza </w:t>
      </w:r>
      <w:r>
        <w:rPr>
          <w:rFonts w:eastAsia="Calibri" w:cs="Times New Roman" w:ascii="Times New Roman" w:hAnsi="Times New Roman"/>
          <w:lang w:eastAsia="pl-PL"/>
        </w:rPr>
        <w:t>do komunikacji.</w:t>
      </w:r>
    </w:p>
    <w:p>
      <w:pPr>
        <w:pStyle w:val="Normal"/>
        <w:widowControl/>
        <w:numPr>
          <w:ilvl w:val="0"/>
          <w:numId w:val="98"/>
        </w:numPr>
        <w:suppressAutoHyphens w:val="true"/>
        <w:bidi w:val="0"/>
        <w:spacing w:lineRule="auto" w:line="216" w:before="0" w:after="5"/>
        <w:ind w:left="340" w:right="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w:t>
      </w:r>
      <w:r>
        <w:rPr>
          <w:rFonts w:eastAsia="Times New Roman" w:cs="Times New Roman" w:ascii="Times New Roman" w:hAnsi="Times New Roman"/>
          <w:u w:val="single" w:color="000000"/>
          <w:lang w:eastAsia="pl-PL"/>
        </w:rPr>
        <w:t>(</w:t>
      </w:r>
      <w:hyperlink r:id="rId11">
        <w:r>
          <w:rPr>
            <w:rStyle w:val="ListLabel283"/>
            <w:rFonts w:eastAsia="Calibri Light" w:cs="Times New Roman" w:ascii="Times New Roman" w:hAnsi="Times New Roman"/>
            <w:color w:val="000080"/>
            <w:u w:val="single"/>
            <w:lang w:eastAsia="pl-PL"/>
          </w:rPr>
          <w:t>https://miniportal.uzp.gov.pl/WarunkiUslugi</w:t>
        </w:r>
      </w:hyperlink>
      <w:r>
        <w:rPr>
          <w:rFonts w:eastAsia="Calibri Light" w:cs="Times New Roman" w:ascii="Times New Roman" w:hAnsi="Times New Roman"/>
          <w:color w:val="000080"/>
          <w:u w:val="single"/>
          <w:lang w:eastAsia="pl-PL"/>
        </w:rPr>
        <w:t>)</w:t>
      </w:r>
      <w:r>
        <w:rPr>
          <w:rFonts w:eastAsia="Times New Roman" w:cs="Times New Roman" w:ascii="Times New Roman" w:hAnsi="Times New Roman"/>
          <w:lang w:eastAsia="pl-PL"/>
        </w:rPr>
        <w:t xml:space="preserve"> oraz Warunkach korzystania z elektronicznej platformy usług administracji publicznej ePUAP </w:t>
      </w:r>
      <w:r>
        <w:rPr>
          <w:rFonts w:eastAsia="Times New Roman" w:cs="Times New Roman" w:ascii="Times New Roman" w:hAnsi="Times New Roman"/>
          <w:u w:val="single" w:color="000000"/>
          <w:lang w:eastAsia="pl-PL"/>
        </w:rPr>
        <w:t>(</w:t>
      </w:r>
      <w:hyperlink r:id="rId12">
        <w:r>
          <w:rPr>
            <w:rStyle w:val="ListLabel283"/>
            <w:rFonts w:eastAsia="Calibri Light" w:cs="Times New Roman" w:ascii="Times New Roman" w:hAnsi="Times New Roman"/>
            <w:color w:val="000080"/>
            <w:u w:val="single"/>
            <w:lang w:eastAsia="pl-PL"/>
          </w:rPr>
          <w:t>www.gov.pl/web/gov/warunki-korzystania</w:t>
        </w:r>
      </w:hyperlink>
      <w:r>
        <w:rPr>
          <w:rFonts w:eastAsia="Calibri Light" w:cs="Times New Roman" w:ascii="Times New Roman" w:hAnsi="Times New Roman"/>
          <w:color w:val="000080"/>
          <w:u w:val="single"/>
          <w:lang w:eastAsia="pl-PL"/>
        </w:rPr>
        <w:t>).</w:t>
      </w:r>
      <w:r>
        <w:rPr>
          <w:rFonts w:eastAsia="Times New Roman" w:cs="Times New Roman" w:ascii="Times New Roman" w:hAnsi="Times New Roman"/>
          <w:lang w:eastAsia="pl-PL"/>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w:t>
      </w:r>
    </w:p>
    <w:p>
      <w:pPr>
        <w:pStyle w:val="Normal"/>
        <w:widowControl/>
        <w:numPr>
          <w:ilvl w:val="0"/>
          <w:numId w:val="98"/>
        </w:numPr>
        <w:suppressAutoHyphens w:val="true"/>
        <w:bidi w:val="0"/>
        <w:spacing w:lineRule="auto" w:line="216" w:before="0" w:after="5"/>
        <w:ind w:left="340" w:right="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Maksymalny rozmiar plików przesyłanych za pośrednictwem dedykowanych formularzy do: złożenia, zmiany, wycofania oferty lub wniosku oraz do komunikacji wynosi 150 MB (dotyczy MiniPortalu oraz ePUAP). Maksymalny rozmiar wiadomości przesyłanych za pośrednictwem poczty elektronicznej wynosi 10 MB</w:t>
      </w:r>
    </w:p>
    <w:p>
      <w:pPr>
        <w:pStyle w:val="Normal"/>
        <w:widowControl/>
        <w:numPr>
          <w:ilvl w:val="0"/>
          <w:numId w:val="98"/>
        </w:numPr>
        <w:suppressAutoHyphens w:val="true"/>
        <w:bidi w:val="0"/>
        <w:spacing w:lineRule="auto" w:line="216" w:before="0" w:after="5"/>
        <w:ind w:left="340" w:right="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Za datę przekazania oferty, oświadczenia, o którym mowa w art. 125 ust. 1 ustawy, podmiotowych środków dowodowych, przedmiotowych środków dowodowych oraz innych informacji, oświadczeń lub dokumentów, przekazywanych w postępowaniu, przyjmuje się datę ich przekazania na ePUAP.</w:t>
      </w:r>
    </w:p>
    <w:p>
      <w:pPr>
        <w:pStyle w:val="Normal"/>
        <w:widowControl/>
        <w:numPr>
          <w:ilvl w:val="0"/>
          <w:numId w:val="98"/>
        </w:numPr>
        <w:suppressAutoHyphens w:val="true"/>
        <w:bidi w:val="0"/>
        <w:spacing w:lineRule="auto" w:line="216" w:before="0" w:after="5"/>
        <w:ind w:left="340" w:right="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 postępowaniu o udzielenie zamówienia korespondencja elektroniczna (inna niż oferta Wykonawcy i załączniki do oferty) odbywa się elektronicznie za pośrednictwem dedykowanego </w:t>
      </w:r>
      <w:r>
        <w:rPr>
          <w:rFonts w:eastAsia="Calibri" w:cs="Calibri" w:ascii="Times New Roman" w:hAnsi="Times New Roman"/>
          <w:lang w:eastAsia="pl-PL"/>
        </w:rPr>
        <w:t xml:space="preserve">formularza dostępnego na ePUAP oraz udostępnionego przez miniPortal (Formularz </w:t>
      </w:r>
      <w:r>
        <w:rPr>
          <w:rFonts w:eastAsia="Times New Roman" w:cs="Times New Roman" w:ascii="Times New Roman" w:hAnsi="Times New Roman"/>
          <w:lang w:eastAsia="pl-PL"/>
        </w:rPr>
        <w:t>do komunikacji). Korespondencja przesłana za pomocą tego formularza nie może być szyfrowana.</w:t>
      </w:r>
    </w:p>
    <w:p>
      <w:pPr>
        <w:pStyle w:val="Normal"/>
        <w:numPr>
          <w:ilvl w:val="1"/>
          <w:numId w:val="6"/>
        </w:numPr>
        <w:spacing w:lineRule="auto" w:line="216" w:before="0" w:after="5"/>
        <w:ind w:left="1191" w:right="57" w:hanging="340"/>
        <w:rPr/>
      </w:pPr>
      <w:r>
        <w:rPr>
          <w:rFonts w:eastAsia="Times New Roman" w:cs="Times New Roman" w:ascii="Times New Roman" w:hAnsi="Times New Roman"/>
          <w:lang w:eastAsia="pl-PL"/>
        </w:rPr>
        <w:t xml:space="preserve">Dokumenty elektroniczne, oświadczenia lub elektroniczne kopie dokumentów lub oświadczeń składane są przez Wykonawcę za pośrednictwem Formularza do komunikacji (dostępnego na ePuap oraz udostępnionego przez miniPortal), jako załączniki. Zamawiający dopuszcza </w:t>
      </w:r>
      <w:r>
        <w:rPr/>
        <w:drawing>
          <wp:inline distT="0" distB="0" distL="0" distR="0">
            <wp:extent cx="14605" cy="14605"/>
            <wp:effectExtent l="0" t="0" r="0" b="0"/>
            <wp:docPr id="3" name="Picture 46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433" descr=""/>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inline>
        </w:drawing>
      </w:r>
      <w:r>
        <w:rPr>
          <w:rFonts w:eastAsia="Times New Roman" w:cs="Times New Roman" w:ascii="Times New Roman" w:hAnsi="Times New Roman"/>
          <w:lang w:eastAsia="pl-PL"/>
        </w:rPr>
        <w:t xml:space="preserve">również możliwość składania dokumentów elektronicznych, oświadczeń lub elektronicznych kopii dokumentów lub oświadczeń </w:t>
      </w:r>
      <w:r>
        <w:rPr>
          <w:rFonts w:eastAsia="Times New Roman" w:cs="Times New Roman" w:ascii="Times New Roman" w:hAnsi="Times New Roman"/>
          <w:u w:val="single" w:color="000000"/>
          <w:lang w:eastAsia="pl-PL"/>
        </w:rPr>
        <w:t xml:space="preserve">(przy czym ten sposób komunikacji nie jest właściwy dla złożenia oferty oraz dokumentów składanych wraz z ofertą) </w:t>
      </w:r>
      <w:r>
        <w:rPr>
          <w:rFonts w:eastAsia="Times New Roman" w:cs="Times New Roman" w:ascii="Times New Roman" w:hAnsi="Times New Roman"/>
          <w:lang w:eastAsia="pl-PL"/>
        </w:rPr>
        <w:t>za pomocą poczty elektronicznej, na adres e-mail</w:t>
      </w:r>
      <w:r>
        <w:rPr>
          <w:rFonts w:eastAsia="Times New Roman" w:cs="Times New Roman" w:ascii="Times New Roman" w:hAnsi="Times New Roman"/>
          <w:color w:val="FF0000"/>
          <w:lang w:eastAsia="pl-PL"/>
        </w:rPr>
        <w:t xml:space="preserve"> </w:t>
      </w:r>
      <w:r>
        <w:rPr>
          <w:rFonts w:eastAsia="Times New Roman" w:cs="Times New Roman" w:ascii="Times New Roman" w:hAnsi="Times New Roman"/>
          <w:color w:val="000080"/>
          <w:u w:val="single"/>
          <w:lang w:eastAsia="pl-PL"/>
        </w:rPr>
        <w:t>przetargi@wo</w:t>
      </w:r>
      <w:hyperlink r:id="rId14">
        <w:r>
          <w:rPr>
            <w:rStyle w:val="ListLabel281"/>
            <w:rFonts w:eastAsia="Times New Roman" w:cs="Times New Roman" w:ascii="Times New Roman" w:hAnsi="Times New Roman"/>
            <w:color w:val="000080"/>
            <w:u w:val="single"/>
            <w:lang w:eastAsia="pl-PL"/>
          </w:rPr>
          <w:t>dociagizorawina</w:t>
        </w:r>
      </w:hyperlink>
      <w:r>
        <w:rPr>
          <w:rFonts w:eastAsia="Times New Roman" w:cs="Times New Roman" w:ascii="Times New Roman" w:hAnsi="Times New Roman"/>
          <w:color w:val="000080"/>
          <w:u w:val="single"/>
          <w:lang w:eastAsia="pl-PL"/>
        </w:rPr>
        <w:t>.pl</w:t>
      </w:r>
      <w:r>
        <w:rPr>
          <w:rFonts w:eastAsia="Times New Roman" w:cs="Times New Roman" w:ascii="Times New Roman" w:hAnsi="Times New Roman"/>
          <w:color w:val="4472C4" w:themeColor="accent1"/>
          <w:u w:val="single"/>
          <w:lang w:eastAsia="pl-PL"/>
        </w:rPr>
        <w:t>;</w:t>
      </w:r>
      <w:r>
        <w:rPr>
          <w:rFonts w:eastAsia="Times New Roman" w:cs="Times New Roman" w:ascii="Times New Roman" w:hAnsi="Times New Roman"/>
          <w:color w:val="4472C4" w:themeColor="accent1"/>
          <w:lang w:eastAsia="pl-PL"/>
        </w:rPr>
        <w:t xml:space="preserve"> </w:t>
      </w:r>
    </w:p>
    <w:p>
      <w:pPr>
        <w:pStyle w:val="Normal"/>
        <w:widowControl/>
        <w:numPr>
          <w:ilvl w:val="0"/>
          <w:numId w:val="6"/>
        </w:numPr>
        <w:suppressAutoHyphens w:val="true"/>
        <w:bidi w:val="0"/>
        <w:spacing w:lineRule="auto" w:line="216" w:before="0" w:after="5"/>
        <w:ind w:left="340" w:right="0" w:hanging="340"/>
        <w:jc w:val="left"/>
        <w:rPr/>
      </w:pPr>
      <w:r>
        <w:rPr>
          <w:rFonts w:eastAsia="Times New Roman" w:cs="Times New Roman" w:ascii="Times New Roman" w:hAnsi="Times New Roman"/>
          <w:lang w:eastAsia="pl-PL"/>
        </w:rPr>
        <w:t xml:space="preserve">Sposób sporządzenia dokumentów elektronicznych, oświadczeń lub elektronicznych kopii dokumentów lub oświadczeń musi być zgody z wymaganiami określonymi w rozporządzeniu Prezesa Rady Ministrów z dnia 31 grudnia 2020 roku „W sprawie sposobu sporządzania </w:t>
      </w:r>
      <w:r>
        <w:rPr>
          <w:rFonts w:eastAsia="Calibri" w:cs="Calibri" w:ascii="Times New Roman" w:hAnsi="Times New Roman"/>
          <w:lang w:eastAsia="pl-PL"/>
        </w:rPr>
        <w:t xml:space="preserve">i przekazywania informacji oraz wymagań technicznych dla dokumentów elektronicznych </w:t>
      </w:r>
      <w:r>
        <w:rPr>
          <w:rFonts w:eastAsia="Times New Roman" w:cs="Times New Roman" w:ascii="Times New Roman" w:hAnsi="Times New Roman"/>
          <w:lang w:eastAsia="pl-PL"/>
        </w:rPr>
        <w:t>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pPr>
        <w:pStyle w:val="Normal"/>
        <w:numPr>
          <w:ilvl w:val="0"/>
          <w:numId w:val="6"/>
        </w:numPr>
        <w:spacing w:lineRule="auto" w:line="216" w:before="0" w:after="5"/>
        <w:ind w:left="425" w:right="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przewiduje sposobu komunikowania się z Wykonawcami w inny sposób niż przy użyciu środków komunikacji elektronicznej, wskazanych w SWZ.</w:t>
      </w:r>
    </w:p>
    <w:p>
      <w:pPr>
        <w:pStyle w:val="Normal"/>
        <w:numPr>
          <w:ilvl w:val="0"/>
          <w:numId w:val="6"/>
        </w:numPr>
        <w:spacing w:lineRule="auto" w:line="216" w:before="0" w:after="5"/>
        <w:ind w:left="425" w:right="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ponosi odpowiedzialności z tytułu nieotrzymania przez Wykonawcę informacji związanych z prowadzonym postępowaniem w przypadku wskazania przez Wykonawcę w ofercie np. adresu poczty elektronicznej.</w:t>
      </w:r>
    </w:p>
    <w:p>
      <w:pPr>
        <w:pStyle w:val="Normal"/>
        <w:numPr>
          <w:ilvl w:val="0"/>
          <w:numId w:val="6"/>
        </w:numPr>
        <w:spacing w:lineRule="auto" w:line="216" w:before="0" w:after="5"/>
        <w:ind w:left="425" w:right="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może drogą elektroniczną/za pomocą środków komunikacji elektronicznej zwrócić się do Zamawiającego z wnioskiem o wyjaśnienie treści SWZ</w:t>
      </w:r>
    </w:p>
    <w:p>
      <w:pPr>
        <w:pStyle w:val="Normal"/>
        <w:numPr>
          <w:ilvl w:val="0"/>
          <w:numId w:val="6"/>
        </w:numPr>
        <w:spacing w:lineRule="auto" w:line="216" w:before="0" w:after="5"/>
        <w:ind w:left="425" w:right="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Treść zapytań wraz z wyjaśnieniami zamawiający udostępnia, bez ujawniania źródła zapytania, na stronie internetowej prowadzonego postępowania.</w:t>
      </w:r>
    </w:p>
    <w:p>
      <w:pPr>
        <w:pStyle w:val="Normal"/>
        <w:spacing w:lineRule="auto" w:line="252"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Wizja lokalna</w:t>
      </w:r>
    </w:p>
    <w:p>
      <w:pPr>
        <w:pStyle w:val="Normal"/>
        <w:spacing w:lineRule="auto" w:line="252" w:before="0" w:after="0"/>
        <w:ind w:left="360" w:hanging="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6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1) Zamawiający   </w:t>
      </w:r>
      <w:r>
        <w:rPr>
          <w:rFonts w:eastAsia="Calibri Light" w:cs="Times New Roman" w:ascii="Times New Roman" w:hAnsi="Times New Roman"/>
          <w:b/>
          <w:bCs/>
          <w:u w:val="single"/>
        </w:rPr>
        <w:t>nie przewiduje możliwości</w:t>
      </w:r>
      <w:r>
        <w:rPr>
          <w:rFonts w:eastAsia="Calibri Light" w:cs="Times New Roman" w:ascii="Times New Roman" w:hAnsi="Times New Roman"/>
          <w:b/>
        </w:rPr>
        <w:t xml:space="preserve"> </w:t>
      </w:r>
      <w:r>
        <w:rPr>
          <w:rFonts w:eastAsia="Calibri Light" w:cs="Times New Roman" w:ascii="Times New Roman" w:hAnsi="Times New Roman"/>
        </w:rPr>
        <w:t>przeprowadzenia wizji lokalnej na miejscu.</w:t>
      </w:r>
    </w:p>
    <w:p>
      <w:pPr>
        <w:pStyle w:val="Normal"/>
        <w:spacing w:lineRule="auto" w:line="240"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4"/>
        </w:numPr>
        <w:shd w:val="clear" w:color="auto" w:fill="EDEDED" w:themeFill="accent3" w:themeFillTint="33"/>
        <w:spacing w:lineRule="auto" w:line="252" w:before="0" w:after="20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Podział zamówienia na części</w:t>
      </w:r>
    </w:p>
    <w:p>
      <w:pPr>
        <w:pStyle w:val="Normal"/>
        <w:spacing w:lineRule="auto" w:line="252" w:before="0" w:after="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dokonuje podziału</w:t>
      </w:r>
      <w:r>
        <w:rPr>
          <w:rFonts w:eastAsia="Calibri Light" w:cs="Times New Roman" w:ascii="Times New Roman" w:hAnsi="Times New Roman"/>
        </w:rPr>
        <w:t xml:space="preserve"> zamówienia na części;</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rPr>
          <w:b/>
          <w:b/>
          <w:bCs/>
        </w:rPr>
      </w:pPr>
      <w:r>
        <w:rPr>
          <w:rFonts w:eastAsia="Calibri Light" w:cs="Times New Roman" w:ascii="Times New Roman" w:hAnsi="Times New Roman"/>
        </w:rPr>
        <w:t>Zadanie 1</w:t>
      </w:r>
      <w:r>
        <w:rPr>
          <w:b/>
          <w:bCs/>
        </w:rPr>
        <w:t xml:space="preserve"> - </w:t>
      </w:r>
      <w:r>
        <w:rPr>
          <w:rFonts w:eastAsia="Calibri Light" w:cs="Times New Roman" w:ascii="Times New Roman" w:hAnsi="Times New Roman"/>
        </w:rPr>
        <w:t>Zakup wraz z dostawą samochodu z beczką asenizacyjną o pojemności nie mniejszej lub równej 15 m3 i nie większej  lub równiej 20 m3</w:t>
      </w:r>
    </w:p>
    <w:p>
      <w:pPr>
        <w:pStyle w:val="Normal"/>
        <w:spacing w:before="0" w:after="160"/>
        <w:contextualSpacing/>
        <w:rPr/>
      </w:pPr>
      <w:r>
        <w:rPr>
          <w:rFonts w:eastAsia="Calibri Light" w:cs="Times New Roman" w:ascii="Times New Roman" w:hAnsi="Times New Roman"/>
        </w:rPr>
        <w:t>Zadanie 2</w:t>
      </w:r>
      <w:r>
        <w:rPr>
          <w:b/>
          <w:bCs/>
        </w:rPr>
        <w:t xml:space="preserve"> - </w:t>
      </w:r>
      <w:r>
        <w:rPr>
          <w:rFonts w:eastAsia="Calibri Light" w:cs="Times New Roman" w:ascii="Times New Roman" w:hAnsi="Times New Roman"/>
        </w:rPr>
        <w:t xml:space="preserve">Zakup wraz z dostawą </w:t>
      </w:r>
      <w:r>
        <w:rPr/>
        <w:t>samochodu  z beczką asenizacyjną o pojemności nie mniejszej lub równej  10 m3 i nie większej lub równej 12 m3.</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eastAsia="Calibri Light" w:cs="Times New Roman"/>
          <w:bCs/>
        </w:rPr>
      </w:pPr>
      <w:r>
        <w:rPr>
          <w:rFonts w:eastAsia="Calibri Light" w:cs="Times New Roman" w:ascii="Times New Roman" w:hAnsi="Times New Roman"/>
          <w:bCs/>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Oferty wariantowe</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dopuszcza możliwości</w:t>
      </w:r>
      <w:r>
        <w:rPr>
          <w:rFonts w:eastAsia="Calibri Light" w:cs="Times New Roman" w:ascii="Times New Roman" w:hAnsi="Times New Roman"/>
          <w:u w:val="single"/>
        </w:rPr>
        <w:t xml:space="preserve"> </w:t>
      </w:r>
      <w:r>
        <w:rPr>
          <w:rFonts w:eastAsia="Calibri Light" w:cs="Times New Roman" w:ascii="Times New Roman" w:hAnsi="Times New Roman"/>
          <w:b/>
          <w:bCs/>
          <w:u w:val="single"/>
        </w:rPr>
        <w:t>złożenia oferty wariantowej</w:t>
      </w:r>
      <w:r>
        <w:rPr>
          <w:rFonts w:eastAsia="Calibri Light" w:cs="Times New Roman" w:ascii="Times New Roman" w:hAnsi="Times New Roman"/>
        </w:rPr>
        <w:t>, o której mowa w art. 92 ustawy Pzp tzn. oferty przewidującej odmienny sposób wykonania zamówienia niż określony w niniejszej SWZ.</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Katalogi elektroniczne</w:t>
      </w:r>
    </w:p>
    <w:p>
      <w:pPr>
        <w:pStyle w:val="Normal"/>
        <w:spacing w:lineRule="auto" w:line="252" w:before="0" w:after="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wymaga</w:t>
      </w:r>
      <w:r>
        <w:rPr>
          <w:rFonts w:eastAsia="Calibri Light" w:cs="Times New Roman" w:ascii="Times New Roman" w:hAnsi="Times New Roman"/>
          <w:b/>
          <w:bCs/>
        </w:rPr>
        <w:t xml:space="preserve"> </w:t>
      </w:r>
      <w:r>
        <w:rPr>
          <w:rFonts w:eastAsia="Calibri Light" w:cs="Times New Roman" w:ascii="Times New Roman" w:hAnsi="Times New Roman"/>
        </w:rPr>
        <w:t>złożenia ofert w postaci katalogów elektronicznych.</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Umowa ramowa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zawarcia umowy ramowej</w:t>
      </w:r>
      <w:r>
        <w:rPr>
          <w:rFonts w:eastAsia="Calibri Light" w:cs="Times New Roman" w:ascii="Times New Roman" w:hAnsi="Times New Roman"/>
        </w:rPr>
        <w:t>, o  której mowa w art. 311–315 ustawy Pzp.</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Aukcja elektroniczna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 przeprowadzenia aukcji elektronicznej</w:t>
      </w:r>
      <w:r>
        <w:rPr>
          <w:rFonts w:eastAsia="Calibri Light" w:cs="Times New Roman" w:ascii="Times New Roman" w:hAnsi="Times New Roman"/>
        </w:rPr>
        <w:t xml:space="preserve">, o  której mowa w art. 308 ust. 1 ustawy Pzp. </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Zamówienia, o których mowa w art. 214 ust. 1 pkt 7 i 8 ustawy Pzp</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w:t>
      </w:r>
      <w:r>
        <w:rPr>
          <w:rFonts w:eastAsia="Calibri Light" w:cs="Times New Roman" w:ascii="Times New Roman" w:hAnsi="Times New Roman"/>
          <w:b/>
        </w:rPr>
        <w:t xml:space="preserve"> </w:t>
      </w:r>
      <w:r>
        <w:rPr>
          <w:rFonts w:eastAsia="Calibri Light" w:cs="Times New Roman" w:ascii="Times New Roman" w:hAnsi="Times New Roman"/>
        </w:rPr>
        <w:t xml:space="preserve">udzielania zamówień na podstawie art. 214 ust. 1 pkt 7 i 8 ustawy Pzp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Rozliczenia w walutach obcych</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62"/>
        </w:numPr>
        <w:shd w:val="clear" w:color="auto" w:fill="FFFFFF"/>
        <w:spacing w:lineRule="auto" w:line="252" w:before="0" w:after="20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Rozliczenia między Zamawiającym a Wykonawcą będą prowadzone w złotych polskich (PLN). </w:t>
      </w:r>
    </w:p>
    <w:p>
      <w:pPr>
        <w:pStyle w:val="Normal"/>
        <w:numPr>
          <w:ilvl w:val="0"/>
          <w:numId w:val="62"/>
        </w:numPr>
        <w:shd w:val="clear" w:color="auto" w:fill="FFFFFF"/>
        <w:spacing w:lineRule="auto" w:line="252" w:before="0" w:after="20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rozliczenia w walutach obcych</w:t>
      </w:r>
      <w:r>
        <w:rPr>
          <w:rFonts w:eastAsia="Times New Roman" w:cs="Times New Roman" w:ascii="Times New Roman" w:hAnsi="Times New Roman"/>
          <w:lang w:eastAsia="pl-PL"/>
        </w:rPr>
        <w:t xml:space="preserve">. </w:t>
      </w:r>
    </w:p>
    <w:p>
      <w:pPr>
        <w:pStyle w:val="Normal"/>
        <w:spacing w:lineRule="auto" w:line="252" w:before="0" w:after="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Zwrot kosztów udziału w postępowaniu</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zwrotu kosztów</w:t>
      </w:r>
      <w:r>
        <w:rPr>
          <w:rFonts w:eastAsia="Times New Roman" w:cs="Times New Roman" w:ascii="Times New Roman" w:hAnsi="Times New Roman"/>
          <w:lang w:eastAsia="pl-PL"/>
        </w:rPr>
        <w:t xml:space="preserve"> udziału w postępowaniu. </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Zaliczki na poczet udzielenia zamówienia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udzielenia zaliczek</w:t>
      </w:r>
      <w:r>
        <w:rPr>
          <w:rFonts w:eastAsia="Calibri Light" w:cs="Times New Roman" w:ascii="Times New Roman" w:hAnsi="Times New Roman"/>
        </w:rPr>
        <w:t xml:space="preserve"> na poczet wykonania zamówienia.</w:t>
      </w:r>
    </w:p>
    <w:p>
      <w:pPr>
        <w:pStyle w:val="Normal"/>
        <w:spacing w:lineRule="auto" w:line="252"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Unieważnienie postępowania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2) </w:t>
      </w:r>
      <w:bookmarkStart w:id="2" w:name="_Hlk63239740"/>
      <w:r>
        <w:rPr>
          <w:rFonts w:eastAsia="Calibri Light" w:cs="Times New Roman" w:ascii="Times New Roman" w:hAnsi="Times New Roman"/>
        </w:rPr>
        <w:t xml:space="preserve">Zamawiający przewiduje możliwość unieważnienia </w:t>
      </w:r>
      <w:bookmarkEnd w:id="2"/>
      <w:r>
        <w:rPr>
          <w:rFonts w:eastAsia="Calibri Light" w:cs="Times New Roman" w:ascii="Times New Roman" w:hAnsi="Times New Roman"/>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Pouczenie o środkach ochrony prawnej</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63"/>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TimesNewRoman,Bold" w:cs="Times New Roman" w:ascii="Times New Roman" w:hAnsi="Times New Roman"/>
          <w:bCs/>
        </w:rPr>
        <w:t xml:space="preserve">Środki ochrony prawnej </w:t>
      </w:r>
      <w:r>
        <w:rPr>
          <w:rFonts w:eastAsia="Times New Roman" w:cs="Times New Roman" w:ascii="Times New Roman" w:hAnsi="Times New Roman"/>
          <w:lang w:eastAsia="pl-PL"/>
        </w:rPr>
        <w:t>przysługują wykonawcy oraz innemu podmiotowi, jeżeli ma lub miał interes w uzyskaniu zamówienia oraz poniósł lub może ponieść szkodę w wyniku naruszenia przez Zamawiającego przepisów ustawy Pzp</w:t>
      </w:r>
      <w:r>
        <w:rPr>
          <w:rFonts w:eastAsia="TimesNewRoman,Bold" w:cs="Times New Roman" w:ascii="Times New Roman" w:hAnsi="Times New Roman"/>
          <w:bCs/>
        </w:rPr>
        <w:t>.</w:t>
      </w:r>
    </w:p>
    <w:p>
      <w:pPr>
        <w:pStyle w:val="Normal"/>
        <w:numPr>
          <w:ilvl w:val="0"/>
          <w:numId w:val="7"/>
        </w:numPr>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 xml:space="preserve">Odwołanie przysługuje </w:t>
      </w:r>
      <w:r>
        <w:rPr>
          <w:rFonts w:eastAsia="Times New Roman" w:cs="Times New Roman" w:ascii="Times New Roman" w:hAnsi="Times New Roman"/>
          <w:lang w:eastAsia="pl-PL"/>
        </w:rPr>
        <w:t>na:</w:t>
      </w:r>
    </w:p>
    <w:p>
      <w:pPr>
        <w:pStyle w:val="Normal"/>
        <w:numPr>
          <w:ilvl w:val="7"/>
          <w:numId w:val="64"/>
        </w:numPr>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niezgodną z przepisami ustawy czynność Zamawiającego, podjętą w postępowaniu o udzielenie zamówienia, w tym na projektowane postanowienie umowy;</w:t>
      </w:r>
    </w:p>
    <w:p>
      <w:pPr>
        <w:pStyle w:val="Normal"/>
        <w:numPr>
          <w:ilvl w:val="7"/>
          <w:numId w:val="8"/>
        </w:numPr>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zaniechanie czynności w postępowaniu o udzielenie zamówienia, do której Zamawiający był obowiązany na podstawie ustawy Pzp;</w:t>
      </w:r>
    </w:p>
    <w:p>
      <w:pPr>
        <w:pStyle w:val="Normal"/>
        <w:numPr>
          <w:ilvl w:val="7"/>
          <w:numId w:val="8"/>
        </w:numPr>
        <w:spacing w:lineRule="auto" w:line="240" w:before="0" w:after="6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zaniechanie przeprowadzenia postępowania o udzielenie zamówienia na podstawie ustawy Pzp, mimo że Zamawiający był do tego obowiązany.</w:t>
      </w:r>
    </w:p>
    <w:p>
      <w:pPr>
        <w:pStyle w:val="Normal"/>
        <w:numPr>
          <w:ilvl w:val="0"/>
          <w:numId w:val="7"/>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 xml:space="preserve">Odwołanie wnosi się w terminie określonym w art. 515 ustawy Pzp. </w:t>
      </w:r>
    </w:p>
    <w:p>
      <w:pPr>
        <w:pStyle w:val="Normal"/>
        <w:numPr>
          <w:ilvl w:val="0"/>
          <w:numId w:val="7"/>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Odwołanie powinno zawierać elementy wskazane w art. 516 ust. 1 ustawy Pzp.</w:t>
      </w:r>
    </w:p>
    <w:p>
      <w:pPr>
        <w:pStyle w:val="Normal"/>
        <w:numPr>
          <w:ilvl w:val="0"/>
          <w:numId w:val="7"/>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Odwołanie wnosi się do Prezesa Krajowej Izby Odwoławczej w sposób i formie określonej w art. 507 i 508 ustawy Pzp.</w:t>
      </w:r>
    </w:p>
    <w:p>
      <w:pPr>
        <w:pStyle w:val="Normal"/>
        <w:numPr>
          <w:ilvl w:val="0"/>
          <w:numId w:val="7"/>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Odwołuj</w:t>
      </w:r>
      <w:r>
        <w:rPr>
          <w:rFonts w:eastAsia="TimesNewRoman,Bold" w:cs="Times New Roman" w:ascii="Times New Roman" w:hAnsi="Times New Roman"/>
          <w:bCs/>
        </w:rPr>
        <w:t>ą</w:t>
      </w:r>
      <w:r>
        <w:rPr>
          <w:rFonts w:eastAsia="Calibri" w:cs="Times New Roman" w:ascii="Times New Roman" w:hAnsi="Times New Roman"/>
          <w:bCs/>
        </w:rPr>
        <w:t xml:space="preserve">cy </w:t>
      </w:r>
      <w:r>
        <w:rPr>
          <w:rFonts w:eastAsia="Times New Roman" w:cs="Times New Roman" w:ascii="Times New Roman" w:hAnsi="Times New Roman"/>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cs="Times New Roman" w:ascii="Times New Roman" w:hAnsi="Times New Roman"/>
          <w:bCs/>
        </w:rPr>
        <w:t>.</w:t>
      </w:r>
    </w:p>
    <w:p>
      <w:pPr>
        <w:pStyle w:val="Normal"/>
        <w:numPr>
          <w:ilvl w:val="0"/>
          <w:numId w:val="7"/>
        </w:numPr>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sprawach nieuregulowanych w ustawie Pzp zastosowanie mają przepisy Kodeksu Cywilnego.</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40" w:before="0" w:after="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Ochrona danych osobowych zebranych przez Zamawiającego w toku postępowania</w:t>
      </w:r>
    </w:p>
    <w:p>
      <w:pPr>
        <w:pStyle w:val="Normal"/>
        <w:spacing w:lineRule="auto" w:line="240" w:before="0" w:after="60"/>
        <w:ind w:left="56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65"/>
        </w:numPr>
        <w:spacing w:lineRule="auto" w:line="216" w:before="0" w:after="38"/>
        <w:ind w:left="619" w:right="22" w:hanging="259"/>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widowControl/>
        <w:numPr>
          <w:ilvl w:val="0"/>
          <w:numId w:val="66"/>
        </w:numPr>
        <w:suppressAutoHyphens w:val="true"/>
        <w:bidi w:val="0"/>
        <w:spacing w:lineRule="auto" w:line="216" w:before="0" w:after="65"/>
        <w:ind w:left="624" w:right="57" w:hanging="28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Administratorem danych osobowych jest Zamawiający. Podstawą prawną przetwarzania danych osobowych stanowi ustawa Prawo zamówień publicznych.</w:t>
      </w:r>
    </w:p>
    <w:p>
      <w:pPr>
        <w:pStyle w:val="Normal"/>
        <w:widowControl/>
        <w:numPr>
          <w:ilvl w:val="0"/>
          <w:numId w:val="66"/>
        </w:numPr>
        <w:suppressAutoHyphens w:val="true"/>
        <w:bidi w:val="0"/>
        <w:spacing w:lineRule="auto" w:line="216" w:before="0" w:after="65"/>
        <w:ind w:left="624" w:right="57" w:hanging="28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 </w:t>
      </w:r>
      <w:r>
        <w:rPr>
          <w:rFonts w:eastAsia="Calibri" w:cs="Times New Roman" w:ascii="Times New Roman" w:hAnsi="Times New Roman"/>
          <w:color w:val="000000"/>
          <w:lang w:eastAsia="pl-PL"/>
        </w:rPr>
        <w:t>Dane osobowe będą przetwarzane w celu:</w:t>
      </w:r>
    </w:p>
    <w:p>
      <w:pPr>
        <w:pStyle w:val="Normal"/>
        <w:numPr>
          <w:ilvl w:val="1"/>
          <w:numId w:val="67"/>
        </w:numPr>
        <w:spacing w:lineRule="auto" w:line="216" w:before="0" w:after="35"/>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przeprowadzenie postępowania o udzielenie zamówienia publicznego,</w:t>
      </w:r>
    </w:p>
    <w:p>
      <w:pPr>
        <w:pStyle w:val="Normal"/>
        <w:numPr>
          <w:ilvl w:val="1"/>
          <w:numId w:val="9"/>
        </w:numPr>
        <w:spacing w:lineRule="auto" w:line="216" w:before="0" w:after="35"/>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zawarcia i realizacji umowy z wyłonionym w niniejszym postępowaniu wykonawcą,</w:t>
      </w:r>
    </w:p>
    <w:p>
      <w:pPr>
        <w:pStyle w:val="Normal"/>
        <w:numPr>
          <w:ilvl w:val="1"/>
          <w:numId w:val="9"/>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dokonania rozliczenia i płatności związanych z realizacją umowy,</w:t>
      </w:r>
    </w:p>
    <w:p>
      <w:pPr>
        <w:pStyle w:val="Normal"/>
        <w:numPr>
          <w:ilvl w:val="1"/>
          <w:numId w:val="9"/>
        </w:numPr>
        <w:spacing w:lineRule="auto" w:line="216" w:before="0" w:after="68"/>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przeprowadzenie ewentualnych postępowań kontrolnych i / lub audytu przez komórki Zamawiającego i inne uprawnione podmioty,</w:t>
      </w:r>
    </w:p>
    <w:p>
      <w:pPr>
        <w:pStyle w:val="Normal"/>
        <w:numPr>
          <w:ilvl w:val="1"/>
          <w:numId w:val="9"/>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udostępnienie dokumentacji postępowania i zawartej umowy jako informacji </w:t>
        <w:tab/>
        <w:t>publicznej,</w:t>
      </w:r>
    </w:p>
    <w:p>
      <w:pPr>
        <w:pStyle w:val="Normal"/>
        <w:numPr>
          <w:ilvl w:val="1"/>
          <w:numId w:val="9"/>
        </w:numPr>
        <w:spacing w:lineRule="auto" w:line="216" w:before="0" w:after="6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archiwizacji postępowania.</w:t>
      </w:r>
    </w:p>
    <w:p>
      <w:pPr>
        <w:pStyle w:val="Normal"/>
        <w:numPr>
          <w:ilvl w:val="1"/>
          <w:numId w:val="9"/>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Dane osobowe będą ujawniane wykonawcom oraz wszystkim zainteresowanym.</w:t>
      </w:r>
    </w:p>
    <w:p>
      <w:pPr>
        <w:pStyle w:val="Normal"/>
        <w:numPr>
          <w:ilvl w:val="0"/>
          <w:numId w:val="9"/>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Dane osobowe będą przechowywane przez okres obowiązywania umowy a następnie przez okres co najmniej 5 lat zgodnie z przepisami dotyczącymi archiwizacji. Dotyczy to wszystkich uczestników postępowania.</w:t>
      </w:r>
    </w:p>
    <w:p>
      <w:pPr>
        <w:pStyle w:val="Normal"/>
        <w:numPr>
          <w:ilvl w:val="0"/>
          <w:numId w:val="10"/>
        </w:numPr>
        <w:spacing w:lineRule="auto" w:line="216" w:before="0" w:after="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Osobie, której dane dotyczą przysługuje na warunkach określonych w przepisach Rozporządzenia RODO:</w:t>
      </w:r>
    </w:p>
    <w:p>
      <w:pPr>
        <w:pStyle w:val="Normal"/>
        <w:numPr>
          <w:ilvl w:val="0"/>
          <w:numId w:val="68"/>
        </w:numPr>
        <w:spacing w:lineRule="auto" w:line="216" w:before="0" w:after="79"/>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dostępu do danych (art. 15),</w:t>
      </w:r>
    </w:p>
    <w:p>
      <w:pPr>
        <w:pStyle w:val="Normal"/>
        <w:numPr>
          <w:ilvl w:val="0"/>
          <w:numId w:val="11"/>
        </w:numPr>
        <w:spacing w:lineRule="auto" w:line="216" w:before="0" w:after="56"/>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sprostowania danych (art. 16),</w:t>
      </w:r>
    </w:p>
    <w:p>
      <w:pPr>
        <w:pStyle w:val="Normal"/>
        <w:numPr>
          <w:ilvl w:val="0"/>
          <w:numId w:val="11"/>
        </w:numPr>
        <w:spacing w:lineRule="auto" w:line="216" w:before="0" w:after="100"/>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do usunięcia danych (art. 17),</w:t>
      </w:r>
    </w:p>
    <w:p>
      <w:pPr>
        <w:pStyle w:val="Normal"/>
        <w:numPr>
          <w:ilvl w:val="0"/>
          <w:numId w:val="11"/>
        </w:numPr>
        <w:spacing w:lineRule="auto" w:line="216" w:before="0" w:after="68"/>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do ograniczenia przetwarzania danych (art. 18).</w:t>
      </w:r>
    </w:p>
    <w:p>
      <w:pPr>
        <w:pStyle w:val="Normal"/>
        <w:numPr>
          <w:ilvl w:val="0"/>
          <w:numId w:val="11"/>
        </w:numPr>
        <w:spacing w:lineRule="auto" w:line="276" w:before="0" w:after="5"/>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prawo wniesienia skargi do organu nadzorczego. </w:t>
      </w:r>
    </w:p>
    <w:p>
      <w:pPr>
        <w:pStyle w:val="Normal"/>
        <w:numPr>
          <w:ilvl w:val="0"/>
          <w:numId w:val="99"/>
        </w:numPr>
        <w:spacing w:lineRule="auto" w:line="276" w:before="0" w:after="5"/>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Osobie, której dane dotyczą nie przysługuje:</w:t>
      </w:r>
    </w:p>
    <w:p>
      <w:pPr>
        <w:pStyle w:val="Normal"/>
        <w:numPr>
          <w:ilvl w:val="0"/>
          <w:numId w:val="69"/>
        </w:numPr>
        <w:spacing w:lineRule="auto" w:line="216" w:before="0" w:after="33"/>
        <w:ind w:left="68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prawo do usunięcia danych osobowych, ,prawo do bycia zapomnianym" w związku z </w:t>
        <w:tab/>
        <w:tab/>
        <w:t>art. 17 ust. 3 lit. b, d lub e Rozporządzenia RODO,</w:t>
      </w:r>
    </w:p>
    <w:p>
      <w:pPr>
        <w:pStyle w:val="Normal"/>
        <w:numPr>
          <w:ilvl w:val="0"/>
          <w:numId w:val="70"/>
        </w:numPr>
        <w:spacing w:lineRule="auto" w:line="216" w:before="0" w:after="33"/>
        <w:ind w:left="68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prawo do przenoszenia danych osobowych, o którym mowa w art. 20 Rozporządzenia </w:t>
        <w:tab/>
        <w:tab/>
        <w:t>RODO,</w:t>
      </w:r>
    </w:p>
    <w:p>
      <w:pPr>
        <w:pStyle w:val="Normal"/>
        <w:numPr>
          <w:ilvl w:val="0"/>
          <w:numId w:val="71"/>
        </w:numPr>
        <w:spacing w:lineRule="auto" w:line="216" w:before="0" w:after="48"/>
        <w:ind w:left="68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sprzeciwu, o którym mowa w art. 21 Rozporządzenia RODO,</w:t>
      </w:r>
    </w:p>
    <w:p>
      <w:pPr>
        <w:pStyle w:val="Normal"/>
        <w:numPr>
          <w:ilvl w:val="0"/>
          <w:numId w:val="72"/>
        </w:numPr>
        <w:spacing w:lineRule="auto" w:line="216" w:before="0" w:after="188"/>
        <w:ind w:left="680" w:right="57"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Rozdział II - Wymagania stawiane wykonawcy </w:t>
      </w:r>
    </w:p>
    <w:p>
      <w:pPr>
        <w:pStyle w:val="Normal"/>
        <w:numPr>
          <w:ilvl w:val="0"/>
          <w:numId w:val="73"/>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Przedmiot zamówienia</w:t>
      </w:r>
    </w:p>
    <w:p>
      <w:pPr>
        <w:pStyle w:val="ListParagraph"/>
        <w:numPr>
          <w:ilvl w:val="1"/>
          <w:numId w:val="10"/>
        </w:numPr>
        <w:rPr/>
      </w:pPr>
      <w:r>
        <w:rPr>
          <w:b/>
        </w:rPr>
        <w:t xml:space="preserve">Przedmiotem zamówienia </w:t>
      </w:r>
      <w:r>
        <w:rPr/>
        <w:t>„Zakup wraz z dostawą pojazdów specjalnych asenizacyjnych do wywozu nieczystości ścieków”</w:t>
      </w:r>
      <w:bookmarkStart w:id="3" w:name="_Hlk119932394"/>
      <w:bookmarkEnd w:id="3"/>
    </w:p>
    <w:p>
      <w:pPr>
        <w:pStyle w:val="Normal"/>
        <w:rPr>
          <w:b/>
          <w:b/>
          <w:bCs/>
        </w:rPr>
      </w:pPr>
      <w:r>
        <w:rPr>
          <w:b/>
          <w:bCs/>
        </w:rPr>
        <w:t>Zadanie 1. Zakup wraz z dostawą beczki asenizacyjnej o pojemności nie mniejszej lub równej 15 m3 i nie większej lub równej 20 m3.</w:t>
      </w:r>
    </w:p>
    <w:p>
      <w:pPr>
        <w:pStyle w:val="ListParagraph"/>
        <w:numPr>
          <w:ilvl w:val="0"/>
          <w:numId w:val="41"/>
        </w:numPr>
        <w:suppressAutoHyphens w:val="false"/>
        <w:spacing w:lineRule="auto" w:line="259" w:before="0" w:after="160"/>
        <w:contextualSpacing/>
        <w:rPr>
          <w:b/>
          <w:b/>
          <w:bCs/>
        </w:rPr>
      </w:pPr>
      <w:r>
        <w:rPr>
          <w:b/>
          <w:bCs/>
        </w:rPr>
        <w:t>Opis przedmiotu zamówienia dla zadania 1:</w:t>
      </w:r>
    </w:p>
    <w:p>
      <w:pPr>
        <w:pStyle w:val="Normal"/>
        <w:rPr/>
      </w:pPr>
      <w:bookmarkStart w:id="4" w:name="_Hlk119996464"/>
      <w:r>
        <w:rPr/>
        <w:t xml:space="preserve">Samochód asenizacyjny </w:t>
      </w:r>
      <w:bookmarkEnd w:id="4"/>
      <w:r>
        <w:rPr/>
        <w:t>na podwoziu ciężarowym o następujących parametrach:</w:t>
      </w:r>
    </w:p>
    <w:p>
      <w:pPr>
        <w:pStyle w:val="ListParagraph"/>
        <w:numPr>
          <w:ilvl w:val="1"/>
          <w:numId w:val="41"/>
        </w:numPr>
        <w:suppressAutoHyphens w:val="false"/>
        <w:spacing w:lineRule="auto" w:line="259" w:before="0" w:after="160"/>
        <w:contextualSpacing/>
        <w:rPr>
          <w:b/>
          <w:b/>
          <w:bCs/>
        </w:rPr>
      </w:pPr>
      <w:r>
        <w:rPr>
          <w:b/>
          <w:bCs/>
        </w:rPr>
        <w:t>Minimalne parametry pojazdu:</w:t>
      </w:r>
    </w:p>
    <w:p>
      <w:pPr>
        <w:pStyle w:val="ListParagraph"/>
        <w:numPr>
          <w:ilvl w:val="2"/>
          <w:numId w:val="41"/>
        </w:numPr>
        <w:suppressAutoHyphens w:val="false"/>
        <w:spacing w:lineRule="auto" w:line="259" w:before="0" w:after="160"/>
        <w:contextualSpacing/>
        <w:rPr/>
      </w:pPr>
      <w:r>
        <w:rPr/>
        <w:t>Rok produkcji podwozia – nie starsze niż 2012 r.</w:t>
      </w:r>
    </w:p>
    <w:p>
      <w:pPr>
        <w:pStyle w:val="ListParagraph"/>
        <w:numPr>
          <w:ilvl w:val="2"/>
          <w:numId w:val="41"/>
        </w:numPr>
        <w:suppressAutoHyphens w:val="false"/>
        <w:spacing w:lineRule="auto" w:line="259" w:before="0" w:after="160"/>
        <w:contextualSpacing/>
        <w:rPr/>
      </w:pPr>
      <w:r>
        <w:rPr/>
        <w:t>Auto zarejestrowane w Polce, posiadające ważny przegląd rejestracyjny (dopuszczone do ruchu), wraz z polisom OC ważna przez okres min. 14 dni od dnia dostawy. Auto zarejestrowane jako pojazd specjalny.</w:t>
      </w:r>
    </w:p>
    <w:p>
      <w:pPr>
        <w:pStyle w:val="ListParagraph"/>
        <w:numPr>
          <w:ilvl w:val="2"/>
          <w:numId w:val="41"/>
        </w:numPr>
        <w:suppressAutoHyphens w:val="false"/>
        <w:spacing w:lineRule="auto" w:line="259" w:before="0" w:after="160"/>
        <w:contextualSpacing/>
        <w:rPr/>
      </w:pPr>
      <w:r>
        <w:rPr/>
        <w:t>Stan podwozia: używane</w:t>
      </w:r>
    </w:p>
    <w:p>
      <w:pPr>
        <w:pStyle w:val="ListParagraph"/>
        <w:numPr>
          <w:ilvl w:val="2"/>
          <w:numId w:val="41"/>
        </w:numPr>
        <w:suppressAutoHyphens w:val="false"/>
        <w:spacing w:lineRule="auto" w:line="259" w:before="0" w:after="160"/>
        <w:contextualSpacing/>
        <w:rPr/>
      </w:pPr>
      <w:r>
        <w:rPr/>
        <w:t>Przebieg – nie większy niż 750 tys. km.</w:t>
      </w:r>
    </w:p>
    <w:p>
      <w:pPr>
        <w:pStyle w:val="ListParagraph"/>
        <w:numPr>
          <w:ilvl w:val="2"/>
          <w:numId w:val="41"/>
        </w:numPr>
        <w:suppressAutoHyphens w:val="false"/>
        <w:spacing w:lineRule="auto" w:line="259" w:before="0" w:after="160"/>
        <w:contextualSpacing/>
        <w:rPr/>
      </w:pPr>
      <w:r>
        <w:rPr/>
        <w:t>Silnik o mocy nie mniejszej niż 400 KM</w:t>
      </w:r>
    </w:p>
    <w:p>
      <w:pPr>
        <w:pStyle w:val="ListParagraph"/>
        <w:numPr>
          <w:ilvl w:val="2"/>
          <w:numId w:val="41"/>
        </w:numPr>
        <w:suppressAutoHyphens w:val="false"/>
        <w:spacing w:lineRule="auto" w:line="259" w:before="0" w:after="160"/>
        <w:contextualSpacing/>
        <w:rPr/>
      </w:pPr>
      <w:r>
        <w:rPr/>
        <w:t>Rodzaj paliwa: Diesel</w:t>
      </w:r>
    </w:p>
    <w:p>
      <w:pPr>
        <w:pStyle w:val="ListParagraph"/>
        <w:numPr>
          <w:ilvl w:val="2"/>
          <w:numId w:val="41"/>
        </w:numPr>
        <w:suppressAutoHyphens w:val="false"/>
        <w:spacing w:lineRule="auto" w:line="259" w:before="0" w:after="160"/>
        <w:contextualSpacing/>
        <w:rPr/>
      </w:pPr>
      <w:r>
        <w:rPr/>
        <w:t>Udokumentowana norma spalania: nie mniej niż EURO 5</w:t>
      </w:r>
    </w:p>
    <w:p>
      <w:pPr>
        <w:pStyle w:val="ListParagraph"/>
        <w:numPr>
          <w:ilvl w:val="2"/>
          <w:numId w:val="41"/>
        </w:numPr>
        <w:suppressAutoHyphens w:val="false"/>
        <w:spacing w:lineRule="auto" w:line="259" w:before="0" w:after="160"/>
        <w:contextualSpacing/>
        <w:rPr/>
      </w:pPr>
      <w:r>
        <w:rPr/>
        <w:t>Skrzynia biegów: manualna lub automatyczna</w:t>
      </w:r>
    </w:p>
    <w:p>
      <w:pPr>
        <w:pStyle w:val="ListParagraph"/>
        <w:numPr>
          <w:ilvl w:val="2"/>
          <w:numId w:val="41"/>
        </w:numPr>
        <w:suppressAutoHyphens w:val="false"/>
        <w:spacing w:lineRule="auto" w:line="259" w:before="0" w:after="160"/>
        <w:contextualSpacing/>
        <w:rPr/>
      </w:pPr>
      <w:r>
        <w:rPr/>
        <w:t>Opony: maksymalne zużycie opon nie przekraczające 30 %</w:t>
      </w:r>
    </w:p>
    <w:p>
      <w:pPr>
        <w:pStyle w:val="ListParagraph"/>
        <w:numPr>
          <w:ilvl w:val="2"/>
          <w:numId w:val="41"/>
        </w:numPr>
        <w:suppressAutoHyphens w:val="false"/>
        <w:spacing w:lineRule="auto" w:line="259" w:before="0" w:after="160"/>
        <w:contextualSpacing/>
        <w:rPr/>
      </w:pPr>
      <w:r>
        <w:rPr/>
        <w:t>Liczba osi: 3 osie w tym tylna oś podnoszona</w:t>
      </w:r>
    </w:p>
    <w:p>
      <w:pPr>
        <w:pStyle w:val="ListParagraph"/>
        <w:numPr>
          <w:ilvl w:val="2"/>
          <w:numId w:val="41"/>
        </w:numPr>
        <w:suppressAutoHyphens w:val="false"/>
        <w:spacing w:lineRule="auto" w:line="259" w:before="0" w:after="160"/>
        <w:contextualSpacing/>
        <w:rPr/>
      </w:pPr>
      <w:r>
        <w:rPr/>
        <w:t>Wymagane DMC pojazdu 26 ton</w:t>
      </w:r>
    </w:p>
    <w:p>
      <w:pPr>
        <w:pStyle w:val="ListParagraph"/>
        <w:numPr>
          <w:ilvl w:val="2"/>
          <w:numId w:val="41"/>
        </w:numPr>
        <w:suppressAutoHyphens w:val="false"/>
        <w:spacing w:lineRule="auto" w:line="259" w:before="0" w:after="160"/>
        <w:contextualSpacing/>
        <w:rPr/>
      </w:pPr>
      <w:r>
        <w:rPr/>
        <w:t>Ilość miejsc w kabinie min 2 (kierowca + pomocnik)</w:t>
      </w:r>
    </w:p>
    <w:p>
      <w:pPr>
        <w:pStyle w:val="ListParagraph"/>
        <w:numPr>
          <w:ilvl w:val="2"/>
          <w:numId w:val="41"/>
        </w:numPr>
        <w:suppressAutoHyphens w:val="false"/>
        <w:spacing w:lineRule="auto" w:line="259" w:before="0" w:after="160"/>
        <w:contextualSpacing/>
        <w:rPr/>
      </w:pPr>
      <w:r>
        <w:rPr/>
        <w:t>fotel kierowcy z zawieszeniem pneumatycznym</w:t>
      </w:r>
    </w:p>
    <w:p>
      <w:pPr>
        <w:pStyle w:val="ListParagraph"/>
        <w:numPr>
          <w:ilvl w:val="2"/>
          <w:numId w:val="41"/>
        </w:numPr>
        <w:suppressAutoHyphens w:val="false"/>
        <w:spacing w:lineRule="auto" w:line="259" w:before="0" w:after="160"/>
        <w:contextualSpacing/>
        <w:rPr/>
      </w:pPr>
      <w:r>
        <w:rPr/>
        <w:t>wszystkie miejsca siedzące z pasami bezpieczeństwa</w:t>
      </w:r>
    </w:p>
    <w:p>
      <w:pPr>
        <w:pStyle w:val="ListParagraph"/>
        <w:numPr>
          <w:ilvl w:val="2"/>
          <w:numId w:val="41"/>
        </w:numPr>
        <w:suppressAutoHyphens w:val="false"/>
        <w:spacing w:lineRule="auto" w:line="259" w:before="0" w:after="160"/>
        <w:contextualSpacing/>
        <w:rPr/>
      </w:pPr>
      <w:r>
        <w:rPr/>
        <w:t>zestaw wskaźników lub wyświetlacz, zawierający co najmniej wskazania: prędkościomierza w km/h, temperatury cieczy chłodzącej silnik, poziomu paliwa, obrotomierza, ilość przejechanych kilometrów,</w:t>
      </w:r>
    </w:p>
    <w:p>
      <w:pPr>
        <w:pStyle w:val="ListParagraph"/>
        <w:numPr>
          <w:ilvl w:val="2"/>
          <w:numId w:val="41"/>
        </w:numPr>
        <w:suppressAutoHyphens w:val="false"/>
        <w:spacing w:lineRule="auto" w:line="259" w:before="0" w:after="160"/>
        <w:contextualSpacing/>
        <w:rPr/>
      </w:pPr>
      <w:r>
        <w:rPr/>
        <w:t xml:space="preserve">oświetlenie wnętrza, </w:t>
      </w:r>
    </w:p>
    <w:p>
      <w:pPr>
        <w:pStyle w:val="ListParagraph"/>
        <w:numPr>
          <w:ilvl w:val="2"/>
          <w:numId w:val="41"/>
        </w:numPr>
        <w:suppressAutoHyphens w:val="false"/>
        <w:spacing w:lineRule="auto" w:line="259" w:before="0" w:after="160"/>
        <w:contextualSpacing/>
        <w:rPr/>
      </w:pPr>
      <w:r>
        <w:rPr/>
        <w:t>szyby otwierane elektrycznie,</w:t>
      </w:r>
    </w:p>
    <w:p>
      <w:pPr>
        <w:pStyle w:val="ListParagraph"/>
        <w:numPr>
          <w:ilvl w:val="2"/>
          <w:numId w:val="41"/>
        </w:numPr>
        <w:suppressAutoHyphens w:val="false"/>
        <w:spacing w:lineRule="auto" w:line="259" w:before="0" w:after="160"/>
        <w:contextualSpacing/>
        <w:rPr/>
      </w:pPr>
      <w:r>
        <w:rPr/>
        <w:t>ogrzewanie kabiny,</w:t>
      </w:r>
    </w:p>
    <w:p>
      <w:pPr>
        <w:pStyle w:val="ListParagraph"/>
        <w:numPr>
          <w:ilvl w:val="2"/>
          <w:numId w:val="41"/>
        </w:numPr>
        <w:suppressAutoHyphens w:val="false"/>
        <w:spacing w:lineRule="auto" w:line="259" w:before="0" w:after="160"/>
        <w:contextualSpacing/>
        <w:rPr/>
      </w:pPr>
      <w:r>
        <w:rPr/>
        <w:t>blokada mostu,</w:t>
      </w:r>
    </w:p>
    <w:p>
      <w:pPr>
        <w:pStyle w:val="ListParagraph"/>
        <w:numPr>
          <w:ilvl w:val="2"/>
          <w:numId w:val="41"/>
        </w:numPr>
        <w:suppressAutoHyphens w:val="false"/>
        <w:spacing w:lineRule="auto" w:line="259" w:before="0" w:after="160"/>
        <w:contextualSpacing/>
        <w:rPr/>
      </w:pPr>
      <w:r>
        <w:rPr/>
        <w:t>system samopoziomowania pojazdu,</w:t>
      </w:r>
    </w:p>
    <w:p>
      <w:pPr>
        <w:pStyle w:val="ListParagraph"/>
        <w:numPr>
          <w:ilvl w:val="2"/>
          <w:numId w:val="41"/>
        </w:numPr>
        <w:suppressAutoHyphens w:val="false"/>
        <w:spacing w:lineRule="auto" w:line="259" w:before="0" w:after="160"/>
        <w:contextualSpacing/>
        <w:rPr/>
      </w:pPr>
      <w:r>
        <w:rPr/>
        <w:t>fartuchy przeciw błotne kół,</w:t>
      </w:r>
    </w:p>
    <w:p>
      <w:pPr>
        <w:pStyle w:val="ListParagraph"/>
        <w:numPr>
          <w:ilvl w:val="2"/>
          <w:numId w:val="41"/>
        </w:numPr>
        <w:suppressAutoHyphens w:val="false"/>
        <w:spacing w:lineRule="auto" w:line="259" w:before="0" w:after="160"/>
        <w:contextualSpacing/>
        <w:rPr/>
      </w:pPr>
      <w:r>
        <w:rPr/>
        <w:t>radio samochodowe z anteną</w:t>
      </w:r>
    </w:p>
    <w:p>
      <w:pPr>
        <w:pStyle w:val="ListParagraph"/>
        <w:numPr>
          <w:ilvl w:val="2"/>
          <w:numId w:val="41"/>
        </w:numPr>
        <w:suppressAutoHyphens w:val="false"/>
        <w:spacing w:lineRule="auto" w:line="259" w:before="0" w:after="160"/>
        <w:contextualSpacing/>
        <w:rPr/>
      </w:pPr>
      <w:r>
        <w:rPr/>
        <w:t>system zapobiegający blokowaniu kół podczas hamowania (ABS)</w:t>
      </w:r>
    </w:p>
    <w:p>
      <w:pPr>
        <w:pStyle w:val="ListParagraph"/>
        <w:numPr>
          <w:ilvl w:val="2"/>
          <w:numId w:val="41"/>
        </w:numPr>
        <w:suppressAutoHyphens w:val="false"/>
        <w:spacing w:lineRule="auto" w:line="259" w:before="0" w:after="160"/>
        <w:contextualSpacing/>
        <w:rPr/>
      </w:pPr>
      <w:r>
        <w:rPr/>
        <w:t>kierownica z regulacją wysokości i kąta pochylenia</w:t>
      </w:r>
    </w:p>
    <w:p>
      <w:pPr>
        <w:pStyle w:val="ListParagraph"/>
        <w:numPr>
          <w:ilvl w:val="2"/>
          <w:numId w:val="41"/>
        </w:numPr>
        <w:suppressAutoHyphens w:val="false"/>
        <w:spacing w:lineRule="auto" w:line="259" w:before="0" w:after="160"/>
        <w:contextualSpacing/>
        <w:rPr/>
      </w:pPr>
      <w:r>
        <w:rPr/>
        <w:t>zbiornik paliwa o pojemności co najmniej 250 dm3,</w:t>
      </w:r>
    </w:p>
    <w:p>
      <w:pPr>
        <w:pStyle w:val="ListParagraph"/>
        <w:numPr>
          <w:ilvl w:val="2"/>
          <w:numId w:val="41"/>
        </w:numPr>
        <w:suppressAutoHyphens w:val="false"/>
        <w:spacing w:lineRule="auto" w:line="259" w:before="0" w:after="160"/>
        <w:contextualSpacing/>
        <w:rPr/>
      </w:pPr>
      <w:r>
        <w:rPr/>
        <w:t>oświetlenie, wyposażenie i oznakowanie umożliwiające poruszanie się po drogach publicznych (wymagane ustawą Prawo o ruchu drogowym i rozporządzeniem Ministra Infrastruktury w sprawie warunków technicznych pojazdów oraz zakresu ich niezbędnego wyposażenia: m.in.: trójkąt ostrzegawczy, gaśnica, apteczka)</w:t>
      </w:r>
    </w:p>
    <w:p>
      <w:pPr>
        <w:pStyle w:val="ListParagraph"/>
        <w:numPr>
          <w:ilvl w:val="2"/>
          <w:numId w:val="41"/>
        </w:numPr>
        <w:suppressAutoHyphens w:val="false"/>
        <w:spacing w:lineRule="auto" w:line="259" w:before="0" w:after="160"/>
        <w:contextualSpacing/>
        <w:rPr/>
      </w:pPr>
      <w:r>
        <w:rPr/>
        <w:t>pasy odblaskowe ( ostrzegawcze ) wzdłuż boków kabiny i zabudowy</w:t>
      </w:r>
    </w:p>
    <w:p>
      <w:pPr>
        <w:pStyle w:val="ListParagraph"/>
        <w:numPr>
          <w:ilvl w:val="2"/>
          <w:numId w:val="41"/>
        </w:numPr>
        <w:suppressAutoHyphens w:val="false"/>
        <w:spacing w:lineRule="auto" w:line="259" w:before="0" w:after="160"/>
        <w:contextualSpacing/>
        <w:rPr>
          <w:sz w:val="23"/>
          <w:szCs w:val="23"/>
        </w:rPr>
      </w:pPr>
      <w:r>
        <w:rPr>
          <w:sz w:val="23"/>
          <w:szCs w:val="23"/>
        </w:rPr>
        <w:t>Oświetlenie ostrzegawcze belka ostrzegawcza, światła koloru pomarańczowego</w:t>
      </w:r>
    </w:p>
    <w:p>
      <w:pPr>
        <w:pStyle w:val="ListParagraph"/>
        <w:numPr>
          <w:ilvl w:val="2"/>
          <w:numId w:val="41"/>
        </w:numPr>
        <w:suppressAutoHyphens w:val="false"/>
        <w:spacing w:lineRule="auto" w:line="259" w:before="0" w:after="160"/>
        <w:contextualSpacing/>
        <w:rPr>
          <w:rFonts w:ascii="Calibri" w:hAnsi="Calibri" w:cs="" w:asciiTheme="minorHAnsi" w:cstheme="minorBidi" w:hAnsiTheme="minorHAnsi"/>
          <w:sz w:val="22"/>
          <w:szCs w:val="22"/>
        </w:rPr>
      </w:pPr>
      <w:r>
        <w:rPr>
          <w:color w:val="2C2C2C"/>
          <w:sz w:val="23"/>
          <w:szCs w:val="23"/>
        </w:rPr>
        <w:t xml:space="preserve">kamera cofania z monitorem, monitor min. 9’’ zamontowany w kabinie, kamera zamontowana na zabudowie beczki. Kąt widzenia kamery min. 170 st. Rozdzielczość min. </w:t>
      </w:r>
      <w:r>
        <w:rPr>
          <w:rFonts w:cs="Tahoma" w:ascii="Tahoma" w:hAnsi="Tahoma"/>
          <w:color w:val="000000"/>
          <w:sz w:val="20"/>
          <w:szCs w:val="20"/>
          <w:shd w:fill="FFFFFF" w:val="clear"/>
        </w:rPr>
        <w:t>733x493 doświetlenie diodami IR – praca w nocy.</w:t>
      </w:r>
    </w:p>
    <w:p>
      <w:pPr>
        <w:pStyle w:val="ListParagraph"/>
        <w:suppressAutoHyphens w:val="false"/>
        <w:spacing w:lineRule="auto" w:line="259" w:before="0" w:after="160"/>
        <w:ind w:left="1080" w:hanging="0"/>
        <w:contextualSpacing/>
        <w:rPr>
          <w:sz w:val="23"/>
          <w:szCs w:val="23"/>
        </w:rPr>
      </w:pPr>
      <w:r>
        <w:rPr>
          <w:sz w:val="23"/>
          <w:szCs w:val="23"/>
        </w:rPr>
      </w:r>
    </w:p>
    <w:p>
      <w:pPr>
        <w:pStyle w:val="ListParagraph"/>
        <w:numPr>
          <w:ilvl w:val="1"/>
          <w:numId w:val="41"/>
        </w:numPr>
        <w:suppressAutoHyphens w:val="false"/>
        <w:spacing w:lineRule="auto" w:line="259" w:before="0" w:after="160"/>
        <w:contextualSpacing/>
        <w:rPr>
          <w:b/>
          <w:b/>
          <w:bCs/>
        </w:rPr>
      </w:pPr>
      <w:r>
        <w:rPr>
          <w:b/>
          <w:bCs/>
        </w:rPr>
        <w:t>Zabudowa asenizacyjna:</w:t>
      </w:r>
    </w:p>
    <w:p>
      <w:pPr>
        <w:pStyle w:val="ListParagraph"/>
        <w:numPr>
          <w:ilvl w:val="2"/>
          <w:numId w:val="41"/>
        </w:numPr>
        <w:suppressAutoHyphens w:val="false"/>
        <w:spacing w:lineRule="auto" w:line="259" w:before="0" w:after="160"/>
        <w:contextualSpacing/>
        <w:rPr/>
      </w:pPr>
      <w:r>
        <w:rPr/>
        <w:t>Nowa zabudowa – rok produkcji 2022</w:t>
      </w:r>
    </w:p>
    <w:p>
      <w:pPr>
        <w:pStyle w:val="ListParagraph"/>
        <w:numPr>
          <w:ilvl w:val="2"/>
          <w:numId w:val="41"/>
        </w:numPr>
        <w:suppressAutoHyphens w:val="false"/>
        <w:spacing w:lineRule="auto" w:line="259" w:before="0" w:after="160"/>
        <w:contextualSpacing/>
        <w:rPr/>
      </w:pPr>
      <w:r>
        <w:rPr/>
        <w:t>Pojemność zbiornika – nie mniejsza lub równa 15 m3 i nie większa lub równa 20 m3</w:t>
      </w:r>
    </w:p>
    <w:p>
      <w:pPr>
        <w:pStyle w:val="ListParagraph"/>
        <w:numPr>
          <w:ilvl w:val="2"/>
          <w:numId w:val="41"/>
        </w:numPr>
        <w:suppressAutoHyphens w:val="false"/>
        <w:spacing w:lineRule="auto" w:line="259" w:before="0" w:after="160"/>
        <w:contextualSpacing/>
        <w:rPr/>
      </w:pPr>
      <w:r>
        <w:rPr>
          <w:color w:val="2C2C2C"/>
          <w:sz w:val="23"/>
          <w:szCs w:val="23"/>
        </w:rPr>
        <w:t>napęd na wałek kardana</w:t>
      </w:r>
    </w:p>
    <w:p>
      <w:pPr>
        <w:pStyle w:val="ListParagraph"/>
        <w:numPr>
          <w:ilvl w:val="2"/>
          <w:numId w:val="41"/>
        </w:numPr>
        <w:suppressAutoHyphens w:val="false"/>
        <w:spacing w:lineRule="auto" w:line="259" w:before="0" w:after="160"/>
        <w:contextualSpacing/>
        <w:rPr/>
      </w:pPr>
      <w:r>
        <w:rPr/>
        <w:t>Zbiornik cylindryczny, wykonany z blachy stalowej grubości nie mniejszej niż 5 mm. wzmocniony pierścieniami zewnętrznymi. Pokryty zewnętrzną warstwa malarską odporną na warunki atmosferyczne.</w:t>
      </w:r>
    </w:p>
    <w:p>
      <w:pPr>
        <w:pStyle w:val="ListParagraph"/>
        <w:numPr>
          <w:ilvl w:val="2"/>
          <w:numId w:val="41"/>
        </w:numPr>
        <w:suppressAutoHyphens w:val="false"/>
        <w:spacing w:lineRule="auto" w:line="259" w:before="0" w:after="160"/>
        <w:contextualSpacing/>
        <w:rPr/>
      </w:pPr>
      <w:r>
        <w:rPr/>
        <w:t>Zabezpieczenie beczki asenizacyjnej od środka powłoką zabezpieczającą przed agresywnym działaniem ścieków oraz ich par – co najmniej dwukrotne nałożenie powłoki.</w:t>
      </w:r>
    </w:p>
    <w:p>
      <w:pPr>
        <w:pStyle w:val="ListParagraph"/>
        <w:numPr>
          <w:ilvl w:val="2"/>
          <w:numId w:val="41"/>
        </w:numPr>
        <w:suppressAutoHyphens w:val="false"/>
        <w:spacing w:lineRule="auto" w:line="259" w:before="0" w:after="160"/>
        <w:contextualSpacing/>
        <w:rPr/>
      </w:pPr>
      <w:r>
        <w:rPr/>
        <w:t>Nachylenie zbiornika ok 4 do 6 stopni,</w:t>
      </w:r>
    </w:p>
    <w:p>
      <w:pPr>
        <w:pStyle w:val="ListParagraph"/>
        <w:numPr>
          <w:ilvl w:val="2"/>
          <w:numId w:val="41"/>
        </w:numPr>
        <w:suppressAutoHyphens w:val="false"/>
        <w:spacing w:lineRule="auto" w:line="259" w:before="0" w:after="160"/>
        <w:contextualSpacing/>
        <w:rPr/>
      </w:pPr>
      <w:r>
        <w:rPr/>
        <w:t>Zbiornik wyposażony w  przegrody wewnętrzne (falochrony) Co najmniej 3 przegrody. Każda z przegród powinna być równa co najmniej 2/3 powierzchni przekroju zbiornika.</w:t>
      </w:r>
    </w:p>
    <w:p>
      <w:pPr>
        <w:pStyle w:val="ListParagraph"/>
        <w:numPr>
          <w:ilvl w:val="2"/>
          <w:numId w:val="41"/>
        </w:numPr>
        <w:suppressAutoHyphens w:val="false"/>
        <w:spacing w:lineRule="auto" w:line="259" w:before="0" w:after="160"/>
        <w:contextualSpacing/>
        <w:rPr/>
      </w:pPr>
      <w:r>
        <w:rPr/>
        <w:t xml:space="preserve">Kompresor ssąco – tłoczący napęd hydrauliczny; wbudowany zawór czterodrogowy (ssanie/wypychanie), automatyczne smarowanie pompy, chłodzenie przez dwa wentylatory. </w:t>
      </w:r>
      <w:r>
        <w:rPr>
          <w:b/>
          <w:bCs/>
          <w:u w:val="single"/>
        </w:rPr>
        <w:t>Pompa przystosowana do pracy ciągłej</w:t>
      </w:r>
      <w:r>
        <w:rPr/>
        <w:t>, przy 80%  próżni. Obroty lewe lub prawe do 1300 obr/min. Wydajność pomy nie mniej niż 13 000 l/min.</w:t>
      </w:r>
    </w:p>
    <w:p>
      <w:pPr>
        <w:pStyle w:val="ListParagraph"/>
        <w:numPr>
          <w:ilvl w:val="2"/>
          <w:numId w:val="41"/>
        </w:numPr>
        <w:suppressAutoHyphens w:val="false"/>
        <w:spacing w:lineRule="auto" w:line="259" w:before="0" w:after="160"/>
        <w:contextualSpacing/>
        <w:rPr/>
      </w:pPr>
      <w:r>
        <w:rPr>
          <w:color w:val="2C2C2C"/>
          <w:sz w:val="23"/>
          <w:szCs w:val="23"/>
        </w:rPr>
        <w:t>dennica tylna otwierana ręcznie lub automatycznie</w:t>
      </w:r>
    </w:p>
    <w:p>
      <w:pPr>
        <w:pStyle w:val="ListParagraph"/>
        <w:numPr>
          <w:ilvl w:val="2"/>
          <w:numId w:val="41"/>
        </w:numPr>
        <w:suppressAutoHyphens w:val="false"/>
        <w:spacing w:lineRule="auto" w:line="259" w:before="0" w:after="160"/>
        <w:contextualSpacing/>
        <w:rPr/>
      </w:pPr>
      <w:r>
        <w:rPr/>
        <w:t>pływakowy zawór regulacyjny umieszczony w najwyższym punkcie zbiornika dla zabezpieczenia przed przepływem nieczystości ze zbiornika do układu ssącego.</w:t>
      </w:r>
    </w:p>
    <w:p>
      <w:pPr>
        <w:pStyle w:val="ListParagraph"/>
        <w:numPr>
          <w:ilvl w:val="2"/>
          <w:numId w:val="41"/>
        </w:numPr>
        <w:suppressAutoHyphens w:val="false"/>
        <w:spacing w:lineRule="auto" w:line="259" w:before="0" w:after="160"/>
        <w:contextualSpacing/>
        <w:rPr/>
      </w:pPr>
      <w:r>
        <w:rPr/>
        <w:t>Odstojnik, w celu niedopuszczenia do zalania pompy próżniowej.</w:t>
      </w:r>
    </w:p>
    <w:p>
      <w:pPr>
        <w:pStyle w:val="ListParagraph"/>
        <w:numPr>
          <w:ilvl w:val="2"/>
          <w:numId w:val="41"/>
        </w:numPr>
        <w:suppressAutoHyphens w:val="false"/>
        <w:spacing w:lineRule="auto" w:line="259" w:before="0" w:after="160"/>
        <w:contextualSpacing/>
        <w:rPr/>
      </w:pPr>
      <w:r>
        <w:rPr/>
        <w:t>Zawór bezpieczeństwa zabezpieczający przed nadmiernym wzrostem cienienia w zbiorniku.</w:t>
      </w:r>
    </w:p>
    <w:p>
      <w:pPr>
        <w:pStyle w:val="ListParagraph"/>
        <w:numPr>
          <w:ilvl w:val="2"/>
          <w:numId w:val="41"/>
        </w:numPr>
        <w:suppressAutoHyphens w:val="false"/>
        <w:spacing w:lineRule="auto" w:line="259" w:before="0" w:after="160"/>
        <w:contextualSpacing/>
        <w:rPr/>
      </w:pPr>
      <w:r>
        <w:rPr/>
        <w:t>Zawór zwrotny umieszczony w układzie ssąco-tłoczącym w celu zabezpieczenia wypływu powietrza ze zbiornika w przypadku, gdy pompa próżniowa zostanie wyłączona.</w:t>
      </w:r>
    </w:p>
    <w:p>
      <w:pPr>
        <w:pStyle w:val="ListParagraph"/>
        <w:numPr>
          <w:ilvl w:val="2"/>
          <w:numId w:val="41"/>
        </w:numPr>
        <w:suppressAutoHyphens w:val="false"/>
        <w:spacing w:lineRule="auto" w:line="259" w:before="0" w:after="160"/>
        <w:contextualSpacing/>
        <w:rPr/>
      </w:pPr>
      <w:r>
        <w:rPr/>
        <w:t>Zawór dolnego ssania, za pomocą którego odbywa się opróżnianie zbiornika, zakończony łącznikiem do mocowania węża z zaślepka zamykającą.</w:t>
      </w:r>
    </w:p>
    <w:p>
      <w:pPr>
        <w:pStyle w:val="ListParagraph"/>
        <w:numPr>
          <w:ilvl w:val="2"/>
          <w:numId w:val="41"/>
        </w:numPr>
        <w:suppressAutoHyphens w:val="false"/>
        <w:spacing w:lineRule="auto" w:line="259" w:before="0" w:after="160"/>
        <w:contextualSpacing/>
        <w:rPr/>
      </w:pPr>
      <w:r>
        <w:rPr/>
        <w:t>Manowakuometr.</w:t>
      </w:r>
    </w:p>
    <w:p>
      <w:pPr>
        <w:pStyle w:val="ListParagraph"/>
        <w:numPr>
          <w:ilvl w:val="2"/>
          <w:numId w:val="41"/>
        </w:numPr>
        <w:suppressAutoHyphens w:val="false"/>
        <w:spacing w:lineRule="auto" w:line="259" w:before="0" w:after="160"/>
        <w:contextualSpacing/>
        <w:rPr/>
      </w:pPr>
      <w:r>
        <w:rPr/>
        <w:t>Wskaźnik płynu ze skalą służący do określenia ilości pobranych ścieków.</w:t>
      </w:r>
    </w:p>
    <w:p>
      <w:pPr>
        <w:pStyle w:val="ListParagraph"/>
        <w:numPr>
          <w:ilvl w:val="2"/>
          <w:numId w:val="41"/>
        </w:numPr>
        <w:suppressAutoHyphens w:val="false"/>
        <w:spacing w:lineRule="auto" w:line="259" w:before="0" w:after="160"/>
        <w:contextualSpacing/>
        <w:rPr/>
      </w:pPr>
      <w:r>
        <w:rPr/>
        <w:t>Pojazdy asenizacyjny musi  być wyposażony w szczelną instalację, szczelny zbiornik oraz w sprawny układ sterowania systemu napełniającego i opróżniającego zbiornik.</w:t>
      </w:r>
    </w:p>
    <w:p>
      <w:pPr>
        <w:pStyle w:val="ListParagraph"/>
        <w:numPr>
          <w:ilvl w:val="2"/>
          <w:numId w:val="41"/>
        </w:numPr>
        <w:suppressAutoHyphens w:val="false"/>
        <w:spacing w:lineRule="auto" w:line="259" w:before="0" w:after="160"/>
        <w:contextualSpacing/>
        <w:rPr>
          <w:sz w:val="23"/>
          <w:szCs w:val="23"/>
        </w:rPr>
      </w:pPr>
      <w:r>
        <w:rPr>
          <w:sz w:val="23"/>
          <w:szCs w:val="23"/>
        </w:rPr>
        <w:t>Halogeny robocze LED minimum dwie sztuki w tym jeden na dennicy na tyle pojazdu, drugi oświetlający kompresor ssąco-tłoczący.</w:t>
      </w:r>
    </w:p>
    <w:p>
      <w:pPr>
        <w:pStyle w:val="ListParagraph"/>
        <w:numPr>
          <w:ilvl w:val="2"/>
          <w:numId w:val="41"/>
        </w:numPr>
        <w:suppressAutoHyphens w:val="false"/>
        <w:spacing w:lineRule="auto" w:line="259" w:before="0" w:after="160"/>
        <w:contextualSpacing/>
        <w:rPr>
          <w:sz w:val="23"/>
          <w:szCs w:val="23"/>
        </w:rPr>
      </w:pPr>
      <w:r>
        <w:rPr/>
        <w:t>Tłumik – odzyskiwacz oleju</w:t>
      </w:r>
    </w:p>
    <w:p>
      <w:pPr>
        <w:pStyle w:val="ListParagraph"/>
        <w:numPr>
          <w:ilvl w:val="2"/>
          <w:numId w:val="41"/>
        </w:numPr>
        <w:suppressAutoHyphens w:val="false"/>
        <w:spacing w:lineRule="auto" w:line="259" w:before="0" w:after="160"/>
        <w:contextualSpacing/>
        <w:rPr>
          <w:sz w:val="23"/>
          <w:szCs w:val="23"/>
        </w:rPr>
      </w:pPr>
      <w:r>
        <w:rPr/>
        <w:t>Rynny na węże po obu stronach beczki, nachylone z lekkim spadkiem na tył beczki, wykonane z blachy aluminiowej o grubości 3 mm lub blachy ocynkowanej min 2 mm grubości  z zaworkami spustowymi o długości odpowiedniej do konstrukcji zbiornika, mieszczące się w szerokości zestawu.</w:t>
      </w:r>
    </w:p>
    <w:p>
      <w:pPr>
        <w:pStyle w:val="ListParagraph"/>
        <w:numPr>
          <w:ilvl w:val="2"/>
          <w:numId w:val="41"/>
        </w:numPr>
        <w:suppressAutoHyphens w:val="false"/>
        <w:spacing w:lineRule="auto" w:line="259" w:before="0" w:after="160"/>
        <w:contextualSpacing/>
        <w:rPr>
          <w:sz w:val="23"/>
          <w:szCs w:val="23"/>
        </w:rPr>
      </w:pPr>
      <w:r>
        <w:rPr>
          <w:sz w:val="23"/>
          <w:szCs w:val="23"/>
        </w:rPr>
        <w:t>Konstrukcja na dennicy  na węże, umożliwiająca ich przełożenie pomiędzy rynnami.</w:t>
      </w:r>
    </w:p>
    <w:p>
      <w:pPr>
        <w:pStyle w:val="Normal"/>
        <w:rPr>
          <w:b/>
          <w:b/>
          <w:bCs/>
        </w:rPr>
      </w:pPr>
      <w:r>
        <w:rPr>
          <w:b/>
          <w:bCs/>
        </w:rPr>
        <w:t xml:space="preserve">Zadanie 2. </w:t>
      </w:r>
      <w:bookmarkStart w:id="5" w:name="_Hlk119931032"/>
      <w:r>
        <w:rPr>
          <w:b/>
          <w:bCs/>
        </w:rPr>
        <w:t>Zakup wraz z dostawą beczki asenizacyjnej o pojemności nie mniejszej lub równej 10 m3</w:t>
      </w:r>
      <w:r>
        <w:rPr/>
        <w:t xml:space="preserve"> i nie większej lub równej 12 m3.</w:t>
      </w:r>
      <w:bookmarkEnd w:id="5"/>
    </w:p>
    <w:p>
      <w:pPr>
        <w:pStyle w:val="ListParagraph"/>
        <w:numPr>
          <w:ilvl w:val="0"/>
          <w:numId w:val="41"/>
        </w:numPr>
        <w:suppressAutoHyphens w:val="false"/>
        <w:spacing w:lineRule="auto" w:line="259" w:before="0" w:after="160"/>
        <w:contextualSpacing/>
        <w:rPr>
          <w:b/>
          <w:b/>
          <w:bCs/>
        </w:rPr>
      </w:pPr>
      <w:r>
        <w:rPr>
          <w:b/>
          <w:bCs/>
        </w:rPr>
        <w:t>Opis przedmiotu zamówienia dla zadania 2:</w:t>
      </w:r>
    </w:p>
    <w:p>
      <w:pPr>
        <w:pStyle w:val="Normal"/>
        <w:rPr/>
      </w:pPr>
      <w:r>
        <w:rPr/>
        <w:t>Samochód asenizacyjny na podwoziu ciężarowym o następujących parametrach:</w:t>
      </w:r>
    </w:p>
    <w:p>
      <w:pPr>
        <w:pStyle w:val="ListParagraph"/>
        <w:numPr>
          <w:ilvl w:val="1"/>
          <w:numId w:val="41"/>
        </w:numPr>
        <w:suppressAutoHyphens w:val="false"/>
        <w:spacing w:lineRule="auto" w:line="259" w:before="0" w:after="160"/>
        <w:contextualSpacing/>
        <w:rPr>
          <w:b/>
          <w:b/>
          <w:bCs/>
        </w:rPr>
      </w:pPr>
      <w:r>
        <w:rPr>
          <w:b/>
          <w:bCs/>
        </w:rPr>
        <w:t>Minimalne parametry pojazdu:</w:t>
      </w:r>
    </w:p>
    <w:p>
      <w:pPr>
        <w:pStyle w:val="ListParagraph"/>
        <w:numPr>
          <w:ilvl w:val="2"/>
          <w:numId w:val="41"/>
        </w:numPr>
        <w:suppressAutoHyphens w:val="false"/>
        <w:spacing w:lineRule="auto" w:line="259" w:before="0" w:after="160"/>
        <w:contextualSpacing/>
        <w:rPr/>
      </w:pPr>
      <w:r>
        <w:rPr/>
        <w:t>Rok produkcji podwozia – nie starsze niż 2012 r.</w:t>
      </w:r>
    </w:p>
    <w:p>
      <w:pPr>
        <w:pStyle w:val="ListParagraph"/>
        <w:numPr>
          <w:ilvl w:val="2"/>
          <w:numId w:val="41"/>
        </w:numPr>
        <w:suppressAutoHyphens w:val="false"/>
        <w:spacing w:lineRule="auto" w:line="259" w:before="0" w:after="160"/>
        <w:contextualSpacing/>
        <w:rPr/>
      </w:pPr>
      <w:r>
        <w:rPr/>
        <w:t>Auto zarejestrowane w Polce, posiadające ważny przegląd rejestracyjny (dopuszczone do ruchu), wraz z polisom OC ważna przez okres min. 14 dni od dnia dostawy. Auto zarejestrowane jako pojazd specjalny.</w:t>
      </w:r>
    </w:p>
    <w:p>
      <w:pPr>
        <w:pStyle w:val="ListParagraph"/>
        <w:numPr>
          <w:ilvl w:val="2"/>
          <w:numId w:val="41"/>
        </w:numPr>
        <w:suppressAutoHyphens w:val="false"/>
        <w:spacing w:lineRule="auto" w:line="259" w:before="0" w:after="160"/>
        <w:contextualSpacing/>
        <w:rPr/>
      </w:pPr>
      <w:r>
        <w:rPr/>
        <w:t>Stan podwozia: używane</w:t>
      </w:r>
    </w:p>
    <w:p>
      <w:pPr>
        <w:pStyle w:val="ListParagraph"/>
        <w:numPr>
          <w:ilvl w:val="2"/>
          <w:numId w:val="41"/>
        </w:numPr>
        <w:suppressAutoHyphens w:val="false"/>
        <w:spacing w:lineRule="auto" w:line="259" w:before="0" w:after="160"/>
        <w:contextualSpacing/>
        <w:rPr/>
      </w:pPr>
      <w:r>
        <w:rPr/>
        <w:t>Przebieg – nie większy niż 500 tys. km.</w:t>
      </w:r>
    </w:p>
    <w:p>
      <w:pPr>
        <w:pStyle w:val="ListParagraph"/>
        <w:numPr>
          <w:ilvl w:val="2"/>
          <w:numId w:val="41"/>
        </w:numPr>
        <w:suppressAutoHyphens w:val="false"/>
        <w:spacing w:lineRule="auto" w:line="259" w:before="0" w:after="160"/>
        <w:contextualSpacing/>
        <w:rPr/>
      </w:pPr>
      <w:r>
        <w:rPr/>
        <w:t>Silnik o mocy nie mniejszej niż 300 KM</w:t>
      </w:r>
    </w:p>
    <w:p>
      <w:pPr>
        <w:pStyle w:val="ListParagraph"/>
        <w:numPr>
          <w:ilvl w:val="2"/>
          <w:numId w:val="41"/>
        </w:numPr>
        <w:suppressAutoHyphens w:val="false"/>
        <w:spacing w:lineRule="auto" w:line="259" w:before="0" w:after="160"/>
        <w:contextualSpacing/>
        <w:rPr/>
      </w:pPr>
      <w:r>
        <w:rPr/>
        <w:t>Rodzaj paliwa: Diesel</w:t>
      </w:r>
    </w:p>
    <w:p>
      <w:pPr>
        <w:pStyle w:val="ListParagraph"/>
        <w:numPr>
          <w:ilvl w:val="2"/>
          <w:numId w:val="41"/>
        </w:numPr>
        <w:suppressAutoHyphens w:val="false"/>
        <w:spacing w:lineRule="auto" w:line="259" w:before="0" w:after="160"/>
        <w:contextualSpacing/>
        <w:rPr/>
      </w:pPr>
      <w:r>
        <w:rPr/>
        <w:t>Udokumentowana norma spalania: nie mniej niż EURO 5</w:t>
      </w:r>
    </w:p>
    <w:p>
      <w:pPr>
        <w:pStyle w:val="ListParagraph"/>
        <w:numPr>
          <w:ilvl w:val="2"/>
          <w:numId w:val="41"/>
        </w:numPr>
        <w:suppressAutoHyphens w:val="false"/>
        <w:spacing w:lineRule="auto" w:line="259" w:before="0" w:after="160"/>
        <w:contextualSpacing/>
        <w:rPr/>
      </w:pPr>
      <w:r>
        <w:rPr/>
        <w:t xml:space="preserve">Skrzynia biegów: manualna </w:t>
      </w:r>
    </w:p>
    <w:p>
      <w:pPr>
        <w:pStyle w:val="ListParagraph"/>
        <w:numPr>
          <w:ilvl w:val="2"/>
          <w:numId w:val="41"/>
        </w:numPr>
        <w:suppressAutoHyphens w:val="false"/>
        <w:spacing w:lineRule="auto" w:line="259" w:before="0" w:after="160"/>
        <w:contextualSpacing/>
        <w:rPr/>
      </w:pPr>
      <w:r>
        <w:rPr/>
        <w:t>Opony: maksymalne zużycie opon nie przekraczające 30 %</w:t>
      </w:r>
    </w:p>
    <w:p>
      <w:pPr>
        <w:pStyle w:val="ListParagraph"/>
        <w:numPr>
          <w:ilvl w:val="2"/>
          <w:numId w:val="41"/>
        </w:numPr>
        <w:suppressAutoHyphens w:val="false"/>
        <w:spacing w:lineRule="auto" w:line="259" w:before="0" w:after="160"/>
        <w:contextualSpacing/>
        <w:rPr/>
      </w:pPr>
      <w:r>
        <w:rPr/>
        <w:t>Liczba osi: 2 osie w tym napędowa bliźniak</w:t>
      </w:r>
    </w:p>
    <w:p>
      <w:pPr>
        <w:pStyle w:val="ListParagraph"/>
        <w:numPr>
          <w:ilvl w:val="2"/>
          <w:numId w:val="41"/>
        </w:numPr>
        <w:suppressAutoHyphens w:val="false"/>
        <w:spacing w:lineRule="auto" w:line="259" w:before="0" w:after="160"/>
        <w:contextualSpacing/>
        <w:rPr/>
      </w:pPr>
      <w:r>
        <w:rPr/>
        <w:t>Wymagane DMC pojazdu 18 ton</w:t>
      </w:r>
    </w:p>
    <w:p>
      <w:pPr>
        <w:pStyle w:val="ListParagraph"/>
        <w:numPr>
          <w:ilvl w:val="2"/>
          <w:numId w:val="41"/>
        </w:numPr>
        <w:suppressAutoHyphens w:val="false"/>
        <w:spacing w:lineRule="auto" w:line="259" w:before="0" w:after="160"/>
        <w:contextualSpacing/>
        <w:rPr/>
      </w:pPr>
      <w:r>
        <w:rPr/>
        <w:t>Ilość miejsc w kabinie min 2 (kierowca + pomocnik)</w:t>
      </w:r>
    </w:p>
    <w:p>
      <w:pPr>
        <w:pStyle w:val="ListParagraph"/>
        <w:numPr>
          <w:ilvl w:val="2"/>
          <w:numId w:val="41"/>
        </w:numPr>
        <w:suppressAutoHyphens w:val="false"/>
        <w:spacing w:lineRule="auto" w:line="259" w:before="0" w:after="160"/>
        <w:contextualSpacing/>
        <w:rPr/>
      </w:pPr>
      <w:r>
        <w:rPr/>
        <w:t>fotel kierowcy z zawieszeniem pneumatycznym</w:t>
      </w:r>
    </w:p>
    <w:p>
      <w:pPr>
        <w:pStyle w:val="ListParagraph"/>
        <w:numPr>
          <w:ilvl w:val="2"/>
          <w:numId w:val="41"/>
        </w:numPr>
        <w:suppressAutoHyphens w:val="false"/>
        <w:spacing w:lineRule="auto" w:line="259" w:before="0" w:after="160"/>
        <w:contextualSpacing/>
        <w:rPr/>
      </w:pPr>
      <w:r>
        <w:rPr/>
        <w:t>wszystkie miejsca siedzące z pasami bezpieczeństwa</w:t>
      </w:r>
    </w:p>
    <w:p>
      <w:pPr>
        <w:pStyle w:val="ListParagraph"/>
        <w:numPr>
          <w:ilvl w:val="2"/>
          <w:numId w:val="41"/>
        </w:numPr>
        <w:suppressAutoHyphens w:val="false"/>
        <w:spacing w:lineRule="auto" w:line="259" w:before="0" w:after="160"/>
        <w:contextualSpacing/>
        <w:rPr/>
      </w:pPr>
      <w:r>
        <w:rPr/>
        <w:t>zestaw wskaźników lub wyświetlacz, zawierający co najmniej wskazania: prędkościomierza w km/h, temperatury cieczy chłodzącej silnik, poziomu paliwa, obrotomierza, ilość przejechanych kilometrów,</w:t>
      </w:r>
    </w:p>
    <w:p>
      <w:pPr>
        <w:pStyle w:val="ListParagraph"/>
        <w:numPr>
          <w:ilvl w:val="2"/>
          <w:numId w:val="41"/>
        </w:numPr>
        <w:suppressAutoHyphens w:val="false"/>
        <w:spacing w:lineRule="auto" w:line="259" w:before="0" w:after="160"/>
        <w:contextualSpacing/>
        <w:rPr/>
      </w:pPr>
      <w:r>
        <w:rPr/>
        <w:t xml:space="preserve">oświetlenie wnętrza, </w:t>
      </w:r>
    </w:p>
    <w:p>
      <w:pPr>
        <w:pStyle w:val="ListParagraph"/>
        <w:numPr>
          <w:ilvl w:val="2"/>
          <w:numId w:val="41"/>
        </w:numPr>
        <w:suppressAutoHyphens w:val="false"/>
        <w:spacing w:lineRule="auto" w:line="259" w:before="0" w:after="160"/>
        <w:contextualSpacing/>
        <w:rPr/>
      </w:pPr>
      <w:r>
        <w:rPr/>
        <w:t>szyby otwierane elektrycznie,</w:t>
      </w:r>
    </w:p>
    <w:p>
      <w:pPr>
        <w:pStyle w:val="ListParagraph"/>
        <w:numPr>
          <w:ilvl w:val="2"/>
          <w:numId w:val="41"/>
        </w:numPr>
        <w:suppressAutoHyphens w:val="false"/>
        <w:spacing w:lineRule="auto" w:line="259" w:before="0" w:after="160"/>
        <w:contextualSpacing/>
        <w:rPr/>
      </w:pPr>
      <w:r>
        <w:rPr/>
        <w:t>ogrzewanie kabiny,</w:t>
      </w:r>
    </w:p>
    <w:p>
      <w:pPr>
        <w:pStyle w:val="ListParagraph"/>
        <w:numPr>
          <w:ilvl w:val="2"/>
          <w:numId w:val="41"/>
        </w:numPr>
        <w:suppressAutoHyphens w:val="false"/>
        <w:spacing w:lineRule="auto" w:line="259" w:before="0" w:after="160"/>
        <w:contextualSpacing/>
        <w:rPr/>
      </w:pPr>
      <w:r>
        <w:rPr/>
        <w:t>blokada mostu,</w:t>
      </w:r>
    </w:p>
    <w:p>
      <w:pPr>
        <w:pStyle w:val="ListParagraph"/>
        <w:numPr>
          <w:ilvl w:val="2"/>
          <w:numId w:val="41"/>
        </w:numPr>
        <w:suppressAutoHyphens w:val="false"/>
        <w:spacing w:lineRule="auto" w:line="259" w:before="0" w:after="160"/>
        <w:contextualSpacing/>
        <w:rPr/>
      </w:pPr>
      <w:r>
        <w:rPr/>
        <w:t>system samopoziomowania pojazdu,</w:t>
      </w:r>
    </w:p>
    <w:p>
      <w:pPr>
        <w:pStyle w:val="ListParagraph"/>
        <w:numPr>
          <w:ilvl w:val="2"/>
          <w:numId w:val="41"/>
        </w:numPr>
        <w:suppressAutoHyphens w:val="false"/>
        <w:spacing w:lineRule="auto" w:line="259" w:before="0" w:after="160"/>
        <w:contextualSpacing/>
        <w:rPr/>
      </w:pPr>
      <w:r>
        <w:rPr/>
        <w:t>fartuchy przeciw błotne kół,</w:t>
      </w:r>
    </w:p>
    <w:p>
      <w:pPr>
        <w:pStyle w:val="ListParagraph"/>
        <w:numPr>
          <w:ilvl w:val="2"/>
          <w:numId w:val="41"/>
        </w:numPr>
        <w:suppressAutoHyphens w:val="false"/>
        <w:spacing w:lineRule="auto" w:line="259" w:before="0" w:after="160"/>
        <w:contextualSpacing/>
        <w:rPr/>
      </w:pPr>
      <w:r>
        <w:rPr/>
        <w:t>radio samochodowe z anteną</w:t>
      </w:r>
    </w:p>
    <w:p>
      <w:pPr>
        <w:pStyle w:val="ListParagraph"/>
        <w:numPr>
          <w:ilvl w:val="2"/>
          <w:numId w:val="41"/>
        </w:numPr>
        <w:suppressAutoHyphens w:val="false"/>
        <w:spacing w:lineRule="auto" w:line="259" w:before="0" w:after="160"/>
        <w:contextualSpacing/>
        <w:rPr/>
      </w:pPr>
      <w:r>
        <w:rPr/>
        <w:t>system zapobiegający blokowaniu kół podczas hamowania (ABS)</w:t>
      </w:r>
    </w:p>
    <w:p>
      <w:pPr>
        <w:pStyle w:val="ListParagraph"/>
        <w:numPr>
          <w:ilvl w:val="2"/>
          <w:numId w:val="41"/>
        </w:numPr>
        <w:suppressAutoHyphens w:val="false"/>
        <w:spacing w:lineRule="auto" w:line="259" w:before="0" w:after="160"/>
        <w:contextualSpacing/>
        <w:rPr/>
      </w:pPr>
      <w:r>
        <w:rPr/>
        <w:t>kierownica z regulacją wysokości i kąta pochylenia</w:t>
      </w:r>
    </w:p>
    <w:p>
      <w:pPr>
        <w:pStyle w:val="ListParagraph"/>
        <w:numPr>
          <w:ilvl w:val="2"/>
          <w:numId w:val="41"/>
        </w:numPr>
        <w:suppressAutoHyphens w:val="false"/>
        <w:spacing w:lineRule="auto" w:line="259" w:before="0" w:after="160"/>
        <w:contextualSpacing/>
        <w:rPr/>
      </w:pPr>
      <w:r>
        <w:rPr/>
        <w:t>zbiornik paliwa o pojemności co najmniej 200 dm3,</w:t>
      </w:r>
    </w:p>
    <w:p>
      <w:pPr>
        <w:pStyle w:val="ListParagraph"/>
        <w:numPr>
          <w:ilvl w:val="2"/>
          <w:numId w:val="41"/>
        </w:numPr>
        <w:suppressAutoHyphens w:val="false"/>
        <w:spacing w:lineRule="auto" w:line="259" w:before="0" w:after="160"/>
        <w:contextualSpacing/>
        <w:rPr/>
      </w:pPr>
      <w:r>
        <w:rPr/>
        <w:t>oświetlenie, wyposażenie i oznakowanie umożliwiające poruszanie się po drogach publicznych (wymagane ustawą Prawo o ruchu drogowym i rozporządzeniem Ministra Infrastruktury w sprawie warunków technicznych pojazdów oraz zakresu ich niezbędnego wyposażenia: m.in.: trójkąt ostrzegawczy, gaśnica, apteczka)</w:t>
      </w:r>
    </w:p>
    <w:p>
      <w:pPr>
        <w:pStyle w:val="ListParagraph"/>
        <w:numPr>
          <w:ilvl w:val="2"/>
          <w:numId w:val="41"/>
        </w:numPr>
        <w:suppressAutoHyphens w:val="false"/>
        <w:spacing w:lineRule="auto" w:line="259" w:before="0" w:after="160"/>
        <w:contextualSpacing/>
        <w:rPr/>
      </w:pPr>
      <w:r>
        <w:rPr/>
        <w:t>pasy odblaskowe ( ostrzegawcze ) wzdłuż boków kabiny i zabudowy</w:t>
      </w:r>
    </w:p>
    <w:p>
      <w:pPr>
        <w:pStyle w:val="ListParagraph"/>
        <w:numPr>
          <w:ilvl w:val="2"/>
          <w:numId w:val="41"/>
        </w:numPr>
        <w:suppressAutoHyphens w:val="false"/>
        <w:spacing w:lineRule="auto" w:line="259" w:before="0" w:after="160"/>
        <w:contextualSpacing/>
        <w:rPr>
          <w:sz w:val="23"/>
          <w:szCs w:val="23"/>
        </w:rPr>
      </w:pPr>
      <w:r>
        <w:rPr>
          <w:sz w:val="23"/>
          <w:szCs w:val="23"/>
        </w:rPr>
        <w:t>Oświetlenie ostrzegawcze belka ostrzegawcza, światła koloru pomarańczowego</w:t>
      </w:r>
    </w:p>
    <w:p>
      <w:pPr>
        <w:pStyle w:val="ListParagraph"/>
        <w:numPr>
          <w:ilvl w:val="2"/>
          <w:numId w:val="41"/>
        </w:numPr>
        <w:suppressAutoHyphens w:val="false"/>
        <w:spacing w:lineRule="auto" w:line="259" w:before="0" w:after="160"/>
        <w:contextualSpacing/>
        <w:rPr>
          <w:rFonts w:ascii="Calibri" w:hAnsi="Calibri" w:cs="" w:asciiTheme="minorHAnsi" w:cstheme="minorBidi" w:hAnsiTheme="minorHAnsi"/>
          <w:sz w:val="22"/>
          <w:szCs w:val="22"/>
        </w:rPr>
      </w:pPr>
      <w:r>
        <w:rPr>
          <w:color w:val="2C2C2C"/>
          <w:sz w:val="23"/>
          <w:szCs w:val="23"/>
        </w:rPr>
        <w:t xml:space="preserve">kamera cofania z monitorem, monitor min. 9’’ zamontowany w kabinie, kamera zamontowana na zabudowie beczki. Kąt widzenia kamery min. 170 st. Rozdzielczość min. </w:t>
      </w:r>
      <w:r>
        <w:rPr>
          <w:rFonts w:cs="Tahoma" w:ascii="Tahoma" w:hAnsi="Tahoma"/>
          <w:color w:val="000000"/>
          <w:sz w:val="20"/>
          <w:szCs w:val="20"/>
          <w:shd w:fill="FFFFFF" w:val="clear"/>
        </w:rPr>
        <w:t>733x493 doświetlenie diodami IR – praca w nocy.</w:t>
      </w:r>
    </w:p>
    <w:p>
      <w:pPr>
        <w:pStyle w:val="ListParagraph"/>
        <w:ind w:left="1080" w:hanging="0"/>
        <w:rPr/>
      </w:pPr>
      <w:r>
        <w:rPr/>
      </w:r>
    </w:p>
    <w:p>
      <w:pPr>
        <w:pStyle w:val="ListParagraph"/>
        <w:numPr>
          <w:ilvl w:val="1"/>
          <w:numId w:val="41"/>
        </w:numPr>
        <w:suppressAutoHyphens w:val="false"/>
        <w:spacing w:lineRule="auto" w:line="259" w:before="0" w:after="160"/>
        <w:contextualSpacing/>
        <w:rPr>
          <w:b/>
          <w:b/>
          <w:bCs/>
        </w:rPr>
      </w:pPr>
      <w:r>
        <w:rPr>
          <w:b/>
          <w:bCs/>
        </w:rPr>
        <w:t>Zabudowa asenizacyjna:</w:t>
      </w:r>
    </w:p>
    <w:p>
      <w:pPr>
        <w:pStyle w:val="ListParagraph"/>
        <w:numPr>
          <w:ilvl w:val="2"/>
          <w:numId w:val="41"/>
        </w:numPr>
        <w:suppressAutoHyphens w:val="false"/>
        <w:spacing w:lineRule="auto" w:line="259" w:before="0" w:after="160"/>
        <w:contextualSpacing/>
        <w:rPr/>
      </w:pPr>
      <w:r>
        <w:rPr/>
        <w:t>Nowa zabudowa – rok produkcji 2022</w:t>
      </w:r>
    </w:p>
    <w:p>
      <w:pPr>
        <w:pStyle w:val="ListParagraph"/>
        <w:numPr>
          <w:ilvl w:val="2"/>
          <w:numId w:val="41"/>
        </w:numPr>
        <w:suppressAutoHyphens w:val="false"/>
        <w:spacing w:lineRule="auto" w:line="259" w:before="0" w:after="160"/>
        <w:contextualSpacing/>
        <w:rPr/>
      </w:pPr>
      <w:r>
        <w:rPr/>
        <w:t>Pojemność zbiornika – nie mniejsza lub równa  10 m3 i nie większa lub równa 12 m3</w:t>
      </w:r>
    </w:p>
    <w:p>
      <w:pPr>
        <w:pStyle w:val="ListParagraph"/>
        <w:numPr>
          <w:ilvl w:val="2"/>
          <w:numId w:val="41"/>
        </w:numPr>
        <w:suppressAutoHyphens w:val="false"/>
        <w:spacing w:lineRule="auto" w:line="259" w:before="0" w:after="160"/>
        <w:contextualSpacing/>
        <w:rPr/>
      </w:pPr>
      <w:r>
        <w:rPr>
          <w:color w:val="2C2C2C"/>
          <w:sz w:val="23"/>
          <w:szCs w:val="23"/>
        </w:rPr>
        <w:t>napęd na wałek kardana</w:t>
      </w:r>
    </w:p>
    <w:p>
      <w:pPr>
        <w:pStyle w:val="ListParagraph"/>
        <w:numPr>
          <w:ilvl w:val="2"/>
          <w:numId w:val="41"/>
        </w:numPr>
        <w:suppressAutoHyphens w:val="false"/>
        <w:spacing w:lineRule="auto" w:line="259" w:before="0" w:after="160"/>
        <w:contextualSpacing/>
        <w:rPr/>
      </w:pPr>
      <w:r>
        <w:rPr/>
        <w:t>Zbiornik cylindryczny, wykonany z blachy stalowej grubości nie mniejszej niż 5 mm. wzmocniony pierścieniami zewnętrznymi. Pokryty zewnętrzną warstwa malarską odporną na warunki atmosferyczne.</w:t>
      </w:r>
    </w:p>
    <w:p>
      <w:pPr>
        <w:pStyle w:val="ListParagraph"/>
        <w:numPr>
          <w:ilvl w:val="2"/>
          <w:numId w:val="41"/>
        </w:numPr>
        <w:suppressAutoHyphens w:val="false"/>
        <w:spacing w:lineRule="auto" w:line="259" w:before="0" w:after="160"/>
        <w:contextualSpacing/>
        <w:rPr/>
      </w:pPr>
      <w:r>
        <w:rPr/>
        <w:t>Zabezpieczenie beczki asenizacyjnej od środka powłoką zabezpieczające przed agresywnym działaniem ścieków oraz ich par – co najmniej dwukrotne nałożenie powłoki.</w:t>
      </w:r>
    </w:p>
    <w:p>
      <w:pPr>
        <w:pStyle w:val="ListParagraph"/>
        <w:numPr>
          <w:ilvl w:val="2"/>
          <w:numId w:val="41"/>
        </w:numPr>
        <w:suppressAutoHyphens w:val="false"/>
        <w:spacing w:lineRule="auto" w:line="259" w:before="0" w:after="160"/>
        <w:contextualSpacing/>
        <w:rPr/>
      </w:pPr>
      <w:r>
        <w:rPr/>
        <w:t>Nachylenie zbiornika ok 4 do 6 stopni,</w:t>
      </w:r>
    </w:p>
    <w:p>
      <w:pPr>
        <w:pStyle w:val="ListParagraph"/>
        <w:numPr>
          <w:ilvl w:val="2"/>
          <w:numId w:val="41"/>
        </w:numPr>
        <w:suppressAutoHyphens w:val="false"/>
        <w:spacing w:lineRule="auto" w:line="259" w:before="0" w:after="160"/>
        <w:contextualSpacing/>
        <w:rPr/>
      </w:pPr>
      <w:r>
        <w:rPr/>
        <w:t xml:space="preserve">Zbiornik wyposażony w  przegrody wewnętrzne (falochrony) Co najmniej 2 przegrody. Każda z przegród powinna być równa co najmniej 2/3 powierzchni przekroju zbiornika </w:t>
      </w:r>
    </w:p>
    <w:p>
      <w:pPr>
        <w:pStyle w:val="ListParagraph"/>
        <w:numPr>
          <w:ilvl w:val="2"/>
          <w:numId w:val="41"/>
        </w:numPr>
        <w:suppressAutoHyphens w:val="false"/>
        <w:spacing w:lineRule="auto" w:line="259" w:before="0" w:after="160"/>
        <w:contextualSpacing/>
        <w:rPr/>
      </w:pPr>
      <w:r>
        <w:rPr/>
        <w:t>Kompresor ssąco – tłoczący napęd hydrauliczny; wbudowany zawór czterodrogowy (ssanie/wypychanie), automatyczne smarowanie pompy, Pompa przystosowana do pracy przerywanej praca ciągła min. 15 min. Chłodzenie powietrzem atmosferycznym. Obroty lewe lub prawe do 1100 obr/min. Wydajność pomy nie mniej niż 10 000 l/min.</w:t>
      </w:r>
    </w:p>
    <w:p>
      <w:pPr>
        <w:pStyle w:val="ListParagraph"/>
        <w:numPr>
          <w:ilvl w:val="2"/>
          <w:numId w:val="41"/>
        </w:numPr>
        <w:suppressAutoHyphens w:val="false"/>
        <w:spacing w:lineRule="auto" w:line="259" w:before="0" w:after="160"/>
        <w:contextualSpacing/>
        <w:rPr/>
      </w:pPr>
      <w:r>
        <w:rPr>
          <w:color w:val="2C2C2C"/>
          <w:sz w:val="23"/>
          <w:szCs w:val="23"/>
        </w:rPr>
        <w:t>dennica tylna otwierana ręcznie lub automatycznie</w:t>
      </w:r>
    </w:p>
    <w:p>
      <w:pPr>
        <w:pStyle w:val="ListParagraph"/>
        <w:numPr>
          <w:ilvl w:val="2"/>
          <w:numId w:val="41"/>
        </w:numPr>
        <w:suppressAutoHyphens w:val="false"/>
        <w:spacing w:lineRule="auto" w:line="259" w:before="0" w:after="160"/>
        <w:contextualSpacing/>
        <w:rPr/>
      </w:pPr>
      <w:r>
        <w:rPr/>
        <w:t>pływakowy zawór regulacyjny umieszczony w najwyższym punkcie zbiornika dla zabezpieczenia przed przepływem nieczystości ze zbiornika do układu ssącego.</w:t>
      </w:r>
    </w:p>
    <w:p>
      <w:pPr>
        <w:pStyle w:val="ListParagraph"/>
        <w:numPr>
          <w:ilvl w:val="2"/>
          <w:numId w:val="41"/>
        </w:numPr>
        <w:suppressAutoHyphens w:val="false"/>
        <w:spacing w:lineRule="auto" w:line="259" w:before="0" w:after="160"/>
        <w:contextualSpacing/>
        <w:rPr/>
      </w:pPr>
      <w:r>
        <w:rPr/>
        <w:t>Odstojnik, w celu niedopuszczenia do zalania pompy próżniowej.</w:t>
      </w:r>
    </w:p>
    <w:p>
      <w:pPr>
        <w:pStyle w:val="ListParagraph"/>
        <w:numPr>
          <w:ilvl w:val="2"/>
          <w:numId w:val="41"/>
        </w:numPr>
        <w:suppressAutoHyphens w:val="false"/>
        <w:spacing w:lineRule="auto" w:line="259" w:before="0" w:after="160"/>
        <w:contextualSpacing/>
        <w:rPr/>
      </w:pPr>
      <w:r>
        <w:rPr/>
        <w:t>Zawór bezpieczeństwa zabezpieczający przed nadmiernym wzrostem cienienia w zbiorniku.</w:t>
      </w:r>
    </w:p>
    <w:p>
      <w:pPr>
        <w:pStyle w:val="ListParagraph"/>
        <w:numPr>
          <w:ilvl w:val="2"/>
          <w:numId w:val="41"/>
        </w:numPr>
        <w:suppressAutoHyphens w:val="false"/>
        <w:spacing w:lineRule="auto" w:line="259" w:before="0" w:after="160"/>
        <w:contextualSpacing/>
        <w:rPr/>
      </w:pPr>
      <w:r>
        <w:rPr/>
        <w:t>Zawór zwrotny umieszczony w układzie ssąco-tłoczącym w celu zabezpieczenia wypływu powietrza ze zbiornika w przypadku, gdy pompa próżniowa zostanie wyłączona.</w:t>
      </w:r>
    </w:p>
    <w:p>
      <w:pPr>
        <w:pStyle w:val="ListParagraph"/>
        <w:numPr>
          <w:ilvl w:val="2"/>
          <w:numId w:val="41"/>
        </w:numPr>
        <w:suppressAutoHyphens w:val="false"/>
        <w:spacing w:lineRule="auto" w:line="259" w:before="0" w:after="160"/>
        <w:contextualSpacing/>
        <w:rPr/>
      </w:pPr>
      <w:r>
        <w:rPr/>
        <w:t>Zawór dolnego ssania, za pomocą którego odbywa się opróżnianie zbiornika, zakończony łącznikiem do mocowania węża z zaślepka zamykającą.</w:t>
      </w:r>
    </w:p>
    <w:p>
      <w:pPr>
        <w:pStyle w:val="ListParagraph"/>
        <w:numPr>
          <w:ilvl w:val="2"/>
          <w:numId w:val="41"/>
        </w:numPr>
        <w:suppressAutoHyphens w:val="false"/>
        <w:spacing w:lineRule="auto" w:line="259" w:before="0" w:after="160"/>
        <w:contextualSpacing/>
        <w:rPr/>
      </w:pPr>
      <w:r>
        <w:rPr/>
        <w:t>Manowakuometr.</w:t>
      </w:r>
    </w:p>
    <w:p>
      <w:pPr>
        <w:pStyle w:val="ListParagraph"/>
        <w:numPr>
          <w:ilvl w:val="2"/>
          <w:numId w:val="41"/>
        </w:numPr>
        <w:suppressAutoHyphens w:val="false"/>
        <w:spacing w:lineRule="auto" w:line="259" w:before="0" w:after="160"/>
        <w:contextualSpacing/>
        <w:rPr/>
      </w:pPr>
      <w:r>
        <w:rPr/>
        <w:t>Wskaźnik płynu ze skalą służący do określenia ilości pobranych ścieków.</w:t>
      </w:r>
    </w:p>
    <w:p>
      <w:pPr>
        <w:pStyle w:val="ListParagraph"/>
        <w:numPr>
          <w:ilvl w:val="2"/>
          <w:numId w:val="41"/>
        </w:numPr>
        <w:suppressAutoHyphens w:val="false"/>
        <w:spacing w:lineRule="auto" w:line="259" w:before="0" w:after="160"/>
        <w:contextualSpacing/>
        <w:rPr/>
      </w:pPr>
      <w:r>
        <w:rPr/>
        <w:t>Pojazdy asenizacyjny musi  być wyposażony w szczelną instalację, szczelny zbiornik oraz w sprawny układ sterowania systemu napełniającego i opróżniającego zbiornik.</w:t>
      </w:r>
    </w:p>
    <w:p>
      <w:pPr>
        <w:pStyle w:val="ListParagraph"/>
        <w:numPr>
          <w:ilvl w:val="2"/>
          <w:numId w:val="41"/>
        </w:numPr>
        <w:suppressAutoHyphens w:val="false"/>
        <w:spacing w:lineRule="auto" w:line="259" w:before="0" w:after="160"/>
        <w:contextualSpacing/>
        <w:rPr>
          <w:sz w:val="23"/>
          <w:szCs w:val="23"/>
        </w:rPr>
      </w:pPr>
      <w:r>
        <w:rPr>
          <w:sz w:val="23"/>
          <w:szCs w:val="23"/>
        </w:rPr>
        <w:t>Halogeny robocze LED minimum dwie sztuki w tym jeden na dennicy na tyle pojazdu, drugi oświetlający kompresor ssąco-tłoczący.</w:t>
      </w:r>
    </w:p>
    <w:p>
      <w:pPr>
        <w:pStyle w:val="ListParagraph"/>
        <w:numPr>
          <w:ilvl w:val="2"/>
          <w:numId w:val="41"/>
        </w:numPr>
        <w:suppressAutoHyphens w:val="false"/>
        <w:spacing w:lineRule="auto" w:line="259" w:before="0" w:after="160"/>
        <w:contextualSpacing/>
        <w:rPr>
          <w:sz w:val="23"/>
          <w:szCs w:val="23"/>
        </w:rPr>
      </w:pPr>
      <w:r>
        <w:rPr/>
        <w:t>Tłumik – odzyskiwacz oleju</w:t>
      </w:r>
    </w:p>
    <w:p>
      <w:pPr>
        <w:pStyle w:val="ListParagraph"/>
        <w:numPr>
          <w:ilvl w:val="2"/>
          <w:numId w:val="41"/>
        </w:numPr>
        <w:suppressAutoHyphens w:val="false"/>
        <w:spacing w:lineRule="auto" w:line="259" w:before="0" w:after="160"/>
        <w:contextualSpacing/>
        <w:rPr>
          <w:sz w:val="23"/>
          <w:szCs w:val="23"/>
        </w:rPr>
      </w:pPr>
      <w:r>
        <w:rPr/>
        <w:t>Rynny na węże po obu stronach beczki, nachylone z lekkim spadkiem na tył beczki, wykonane z blachy aluminiowej o grubości 3 mm lub blachy ocynkowanej min 2 mm grubości  z zaworkami spustowymi o długości odpowiedniej do konstrukcji zbiornika, mieszczące się w szerokości zestawu.</w:t>
      </w:r>
    </w:p>
    <w:p>
      <w:pPr>
        <w:pStyle w:val="ListParagraph"/>
        <w:numPr>
          <w:ilvl w:val="2"/>
          <w:numId w:val="41"/>
        </w:numPr>
        <w:suppressAutoHyphens w:val="false"/>
        <w:spacing w:lineRule="auto" w:line="259" w:before="0" w:after="160"/>
        <w:contextualSpacing/>
        <w:rPr>
          <w:sz w:val="23"/>
          <w:szCs w:val="23"/>
        </w:rPr>
      </w:pPr>
      <w:r>
        <w:rPr>
          <w:sz w:val="23"/>
          <w:szCs w:val="23"/>
        </w:rPr>
        <w:t>Konstrukcja na dennicy  na węże, umożliwiająca ich przełożenie pomiędzy rynnami.</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2. Szczegółowy Nomenklatura wg CPV</w:t>
      </w:r>
    </w:p>
    <w:p>
      <w:pPr>
        <w:pStyle w:val="Nagwek3"/>
        <w:pBdr>
          <w:bottom w:val="single" w:sz="6" w:space="8" w:color="E1E1E1"/>
        </w:pBdr>
        <w:shd w:val="clear" w:color="auto" w:fill="FFFFFF"/>
        <w:spacing w:lineRule="atLeast" w:line="360" w:before="300" w:after="150"/>
        <w:rPr>
          <w:rFonts w:ascii="Times New Roman" w:hAnsi="Times New Roman" w:eastAsia="Times New Roman" w:cs="Times New Roman"/>
          <w:color w:val="auto"/>
        </w:rPr>
      </w:pPr>
      <w:r>
        <w:rPr>
          <w:rFonts w:eastAsia="Times New Roman" w:cs="Times New Roman" w:ascii="Times New Roman" w:hAnsi="Times New Roman"/>
          <w:color w:val="auto"/>
        </w:rPr>
        <w:t xml:space="preserve">CPV – 34144500-3- pojazdy do transportu odpadów i ścieków </w:t>
      </w:r>
    </w:p>
    <w:p>
      <w:pPr>
        <w:pStyle w:val="Normal"/>
        <w:shd w:val="clear" w:color="auto" w:fill="FFF2CC" w:themeFill="accent4" w:themeFillTint="33"/>
        <w:spacing w:lineRule="auto" w:line="252" w:before="0" w:after="200"/>
        <w:ind w:left="36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color w:val="000000"/>
        </w:rPr>
        <w:t>2. Dostawa</w:t>
      </w:r>
    </w:p>
    <w:p>
      <w:pPr>
        <w:pStyle w:val="Normal"/>
        <w:numPr>
          <w:ilvl w:val="0"/>
          <w:numId w:val="74"/>
        </w:numPr>
        <w:spacing w:lineRule="auto" w:line="240" w:before="0" w:after="0"/>
        <w:ind w:left="34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Szczegółowy opis przedmiotu zamówienia zawiera załącznik nr 1a do SWZ.</w:t>
      </w:r>
    </w:p>
    <w:p>
      <w:pPr>
        <w:pStyle w:val="Normal"/>
        <w:numPr>
          <w:ilvl w:val="0"/>
          <w:numId w:val="13"/>
        </w:numPr>
        <w:spacing w:lineRule="auto" w:line="240" w:before="0" w:after="0"/>
        <w:ind w:left="34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bCs/>
          <w:lang w:eastAsia="pl-PL"/>
        </w:rPr>
        <w:t xml:space="preserve">Przedmiot zamówienia określono poprzez wskazanie obiektywnych cech technicznych </w:t>
        <w:br/>
        <w:tab/>
        <w:t xml:space="preserve">i jakościowych oraz standardów, dla których określenia dopuszcza się wskazanie </w:t>
        <w:tab/>
        <w:t xml:space="preserve">przykładowych znaków towarowych. </w:t>
      </w:r>
    </w:p>
    <w:p>
      <w:pPr>
        <w:pStyle w:val="Normal"/>
        <w:numPr>
          <w:ilvl w:val="0"/>
          <w:numId w:val="75"/>
        </w:numPr>
        <w:spacing w:lineRule="auto" w:line="240" w:before="0" w:after="0"/>
        <w:ind w:left="340" w:hanging="360"/>
        <w:jc w:val="both"/>
        <w:rPr>
          <w:rFonts w:ascii="Times New Roman" w:hAnsi="Times New Roman" w:eastAsia="Times New Roman" w:cs="Times New Roman"/>
          <w:lang w:eastAsia="pl-PL"/>
        </w:rPr>
      </w:pPr>
      <w:r>
        <w:rPr>
          <w:rFonts w:eastAsia="Times New Roman" w:cs="Times New Roman" w:ascii="Times New Roman" w:hAnsi="Times New Roman"/>
          <w:bCs/>
          <w:lang w:eastAsia="pl-PL"/>
        </w:rPr>
        <w:t>Zamawiający zastrzega sobie prawo ograniczenia przedmiotu zamówienia w zakresie ilościowym w przypadku zmiany bieżących potrzeb, podyktowanych warunkami ekonomicznymi, technologicznymi lub organizacyjnymi</w:t>
      </w:r>
    </w:p>
    <w:p>
      <w:pPr>
        <w:pStyle w:val="Normal"/>
        <w:numPr>
          <w:ilvl w:val="0"/>
          <w:numId w:val="75"/>
        </w:numPr>
        <w:spacing w:lineRule="auto" w:line="240" w:before="0" w:after="0"/>
        <w:ind w:left="340" w:hanging="360"/>
        <w:jc w:val="both"/>
        <w:rPr>
          <w:rFonts w:ascii="Times New Roman" w:hAnsi="Times New Roman" w:eastAsia="Times New Roman" w:cs="Times New Roman"/>
          <w:lang w:eastAsia="pl-PL"/>
        </w:rPr>
      </w:pPr>
      <w:r>
        <w:rPr>
          <w:rFonts w:eastAsia="Times New Roman" w:cs="Times New Roman" w:ascii="Times New Roman" w:hAnsi="Times New Roman"/>
          <w:bCs/>
          <w:lang w:eastAsia="pl-PL"/>
        </w:rPr>
        <w:t xml:space="preserve">W przypadku, gdy Zamawiający odnosi się w opisie przedmiotu zamówienia  do  norm, ocen </w:t>
      </w:r>
      <w:r>
        <w:rPr>
          <w:rFonts w:eastAsia="Times New Roman" w:cs="Times New Roman" w:ascii="Times New Roman" w:hAnsi="Times New Roman"/>
          <w:bCs/>
          <w:sz w:val="22"/>
          <w:szCs w:val="22"/>
          <w:lang w:eastAsia="pl-PL"/>
        </w:rPr>
        <w:t>technicznych, specyfikacji technicznych i systemów referencji technicznych, o których mowa w art. 101 ust. 1 pkt 2 oraz ust. 3 ustawy Pzp, dopuszcza się rozwiązania równoważne opisywanym.</w:t>
      </w:r>
    </w:p>
    <w:p>
      <w:pPr>
        <w:pStyle w:val="Normal"/>
        <w:numPr>
          <w:ilvl w:val="0"/>
          <w:numId w:val="75"/>
        </w:numPr>
        <w:spacing w:lineRule="auto" w:line="240" w:before="0" w:after="0"/>
        <w:ind w:left="340" w:hanging="360"/>
        <w:jc w:val="both"/>
        <w:rPr>
          <w:sz w:val="22"/>
          <w:szCs w:val="22"/>
        </w:rPr>
      </w:pPr>
      <w:r>
        <w:rPr>
          <w:rFonts w:cs="Times New Roman" w:ascii="Times New Roman" w:hAnsi="Times New Roman"/>
          <w:bCs/>
          <w:sz w:val="22"/>
          <w:szCs w:val="22"/>
        </w:rPr>
        <w:t xml:space="preserve">Zamawiający wymaga, aby przedmiot umowy był wolny od wad technicznych </w:t>
        <w:br/>
        <w:t>i prawnych, dobrej jakości, dopuszczony do obrotu.</w:t>
      </w:r>
    </w:p>
    <w:p>
      <w:pPr>
        <w:pStyle w:val="Normal"/>
        <w:numPr>
          <w:ilvl w:val="0"/>
          <w:numId w:val="75"/>
        </w:numPr>
        <w:spacing w:lineRule="auto" w:line="240" w:before="0" w:after="0"/>
        <w:ind w:left="340" w:hanging="360"/>
        <w:jc w:val="both"/>
        <w:rPr>
          <w:rFonts w:ascii="Times New Roman" w:hAnsi="Times New Roman" w:eastAsia="Times New Roman" w:cs="Times New Roman"/>
          <w:lang w:eastAsia="pl-PL"/>
        </w:rPr>
      </w:pPr>
      <w:r>
        <w:rPr>
          <w:rFonts w:cs="Times New Roman" w:ascii="Times New Roman" w:hAnsi="Times New Roman"/>
          <w:bCs/>
          <w:sz w:val="22"/>
          <w:szCs w:val="22"/>
        </w:rPr>
        <w:t>Zamawiający dopuszcza możliwość składania ofert częściowy</w:t>
      </w:r>
      <w:r>
        <w:rPr>
          <w:rFonts w:cs="Times New Roman" w:ascii="Times New Roman" w:hAnsi="Times New Roman"/>
          <w:bCs/>
          <w:sz w:val="24"/>
          <w:szCs w:val="24"/>
        </w:rPr>
        <w:t>ch, tj. na każde z 2 zadań oddzielnie:</w:t>
      </w:r>
    </w:p>
    <w:p>
      <w:pPr>
        <w:pStyle w:val="Normal"/>
        <w:spacing w:lineRule="auto" w:line="240" w:before="0" w:after="0"/>
        <w:ind w:left="34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rFonts w:ascii="Times New Roman" w:hAnsi="Times New Roman" w:cs="Times New Roman"/>
          <w:b/>
          <w:b/>
          <w:bCs/>
        </w:rPr>
      </w:pPr>
      <w:r>
        <w:rPr>
          <w:rFonts w:eastAsia="Calibri Light" w:cs="Times New Roman" w:ascii="Times New Roman" w:hAnsi="Times New Roman"/>
          <w:b/>
          <w:bCs/>
        </w:rPr>
        <w:t>Zadanie 1</w:t>
      </w:r>
      <w:r>
        <w:rPr>
          <w:rFonts w:cs="Times New Roman" w:ascii="Times New Roman" w:hAnsi="Times New Roman"/>
          <w:b/>
          <w:bCs/>
        </w:rPr>
        <w:t xml:space="preserve"> - </w:t>
      </w:r>
      <w:r>
        <w:rPr>
          <w:rFonts w:eastAsia="Calibri Light" w:cs="Times New Roman" w:ascii="Times New Roman" w:hAnsi="Times New Roman"/>
          <w:b/>
          <w:bCs/>
        </w:rPr>
        <w:t>Zakup wraz z dostawą samochodu z beczką asenizacyjną o pojemności nie mniejszej lub równej 15 m3 i nie większej lub równej 20 m3</w:t>
      </w:r>
    </w:p>
    <w:p>
      <w:pPr>
        <w:pStyle w:val="Normal"/>
        <w:spacing w:before="0" w:after="160"/>
        <w:contextualSpacing/>
        <w:rPr>
          <w:rFonts w:ascii="Times New Roman" w:hAnsi="Times New Roman" w:cs="Times New Roman"/>
          <w:b/>
          <w:b/>
          <w:bCs/>
        </w:rPr>
      </w:pPr>
      <w:r>
        <w:rPr>
          <w:rFonts w:eastAsia="Calibri Light" w:cs="Times New Roman" w:ascii="Times New Roman" w:hAnsi="Times New Roman"/>
          <w:b/>
          <w:bCs/>
        </w:rPr>
        <w:t>Zadanie 2</w:t>
      </w:r>
      <w:r>
        <w:rPr>
          <w:rFonts w:cs="Times New Roman" w:ascii="Times New Roman" w:hAnsi="Times New Roman"/>
          <w:b/>
          <w:bCs/>
        </w:rPr>
        <w:t xml:space="preserve"> - </w:t>
      </w:r>
      <w:r>
        <w:rPr>
          <w:rFonts w:eastAsia="Calibri Light" w:cs="Times New Roman" w:ascii="Times New Roman" w:hAnsi="Times New Roman"/>
          <w:b/>
          <w:bCs/>
        </w:rPr>
        <w:t xml:space="preserve">Zakup wraz z dostawą </w:t>
      </w:r>
      <w:r>
        <w:rPr>
          <w:rFonts w:cs="Times New Roman" w:ascii="Times New Roman" w:hAnsi="Times New Roman"/>
          <w:b/>
          <w:bCs/>
        </w:rPr>
        <w:t>samochodu  z beczką asenizacyjną o pojemności nie mniejszej lub równej  10 m3 i nie większej lub równej 12 m3</w:t>
      </w:r>
    </w:p>
    <w:p>
      <w:pPr>
        <w:pStyle w:val="ListParagraph"/>
        <w:spacing w:lineRule="auto" w:line="252"/>
        <w:ind w:left="720" w:hanging="0"/>
        <w:jc w:val="both"/>
        <w:rPr>
          <w:rFonts w:eastAsia="Calibri Light"/>
        </w:rPr>
      </w:pPr>
      <w:r>
        <w:rPr>
          <w:rFonts w:eastAsia="Times New Roman" w:cs="Times New Roman"/>
          <w:b/>
          <w:lang w:eastAsia="pl-PL"/>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Rozwiązania równoważne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zatrudniania przez wykonawcę lub podwykonawcę osób na podstawie stosunku pracy</w:t>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12"/>
          <w:szCs w:val="12"/>
          <w:lang w:eastAsia="pl-PL"/>
        </w:rPr>
        <w:br/>
      </w:r>
      <w:r>
        <w:rPr>
          <w:rFonts w:eastAsia="Times New Roman" w:cs="Times New Roman" w:ascii="Times New Roman" w:hAnsi="Times New Roman"/>
          <w:bCs/>
          <w:lang w:eastAsia="pl-PL"/>
        </w:rPr>
        <w:t xml:space="preserve">Zamawiający </w:t>
      </w:r>
      <w:r>
        <w:rPr>
          <w:rFonts w:eastAsia="Times New Roman" w:cs="Times New Roman" w:ascii="Times New Roman" w:hAnsi="Times New Roman"/>
          <w:b/>
          <w:lang w:eastAsia="pl-PL"/>
        </w:rPr>
        <w:t>nie stawia wymogu</w:t>
      </w:r>
      <w:r>
        <w:rPr>
          <w:rFonts w:eastAsia="Times New Roman" w:cs="Times New Roman" w:ascii="Times New Roman" w:hAnsi="Times New Roman"/>
          <w:bCs/>
          <w:lang w:eastAsia="pl-PL"/>
        </w:rPr>
        <w:t xml:space="preserve"> w zakresie zatrudnienia przez wykonawcę lub podwykonawcę na podstawie stosunku pracy osób uczestniczących w realizacji zamówienia.</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zatrudnienia osób, o których mowa w art. 96 ust. 2 pkt 2 ustawy Pzp</w:t>
      </w:r>
    </w:p>
    <w:p>
      <w:pPr>
        <w:pStyle w:val="Normal"/>
        <w:spacing w:lineRule="auto" w:line="240" w:before="0" w:after="0"/>
        <w:ind w:left="-142"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stawia wymogu w zakresie zatrudnienia przez wykonawcę osób, o których mowa w art. 96 ust. 2 pkt 2</w:t>
      </w:r>
      <w:r>
        <w:rPr>
          <w:rFonts w:eastAsia="Times New Roman" w:cs="Times New Roman" w:ascii="Times New Roman" w:hAnsi="Times New Roman"/>
          <w:lang w:eastAsia="pl-PL"/>
        </w:rPr>
        <w:t xml:space="preserve"> ustawy Pzp.</w:t>
      </w:r>
      <w:bookmarkStart w:id="6" w:name="_Hlk64890306"/>
      <w:bookmarkEnd w:id="6"/>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przedmiotowych środkach dowodowych</w:t>
      </w:r>
    </w:p>
    <w:p>
      <w:pPr>
        <w:pStyle w:val="Normal"/>
        <w:spacing w:lineRule="auto" w:line="240" w:before="0" w:after="0"/>
        <w:ind w:left="-142" w:hanging="0"/>
        <w:jc w:val="both"/>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nie przewiduje przedmiotowych środków dowodowych.</w:t>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Termin wykonania zamówienia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Calibri Light" w:cs="Times New Roman" w:ascii="Times New Roman" w:hAnsi="Times New Roman"/>
        </w:rPr>
        <w:t>Zamawiający wymaga, aby zamówienie zostało wykonane do 14 dni kalendarzowych od daty podpisania umowy.</w:t>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warunkach udziału w postępowaniu o udzielenie zamówienia</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na</w:t>
      </w:r>
      <w:r>
        <w:rPr>
          <w:rFonts w:eastAsia="Calibri Light" w:cs="Times New Roman" w:ascii="Times New Roman" w:hAnsi="Times New Roman"/>
        </w:rPr>
        <w:t xml:space="preserve"> podstawie art. 112 ustawy Pzp, określa warunek/warunki udziału w postępowaniu </w:t>
      </w:r>
      <w:r>
        <w:rPr>
          <w:rFonts w:eastAsia="Calibri Light" w:cs="Times New Roman" w:ascii="Times New Roman" w:hAnsi="Times New Roman"/>
          <w:b/>
        </w:rPr>
        <w:t>dotyczący/-e:</w:t>
      </w:r>
    </w:p>
    <w:p>
      <w:pPr>
        <w:pStyle w:val="Normal"/>
        <w:numPr>
          <w:ilvl w:val="0"/>
          <w:numId w:val="76"/>
        </w:numPr>
        <w:spacing w:lineRule="auto" w:line="240" w:before="0" w:after="60"/>
        <w:ind w:left="284" w:hanging="284"/>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zdolności do występowania w obrocie gospodarczym:</w:t>
      </w:r>
    </w:p>
    <w:p>
      <w:pPr>
        <w:pStyle w:val="Normal"/>
        <w:spacing w:lineRule="auto" w:line="240" w:before="0" w:after="0"/>
        <w:ind w:left="284" w:hanging="0"/>
        <w:jc w:val="both"/>
        <w:rPr>
          <w:rFonts w:ascii="Times New Roman" w:hAnsi="Times New Roman" w:eastAsia="Times New Roman" w:cs="Times New Roman"/>
          <w:sz w:val="24"/>
          <w:szCs w:val="24"/>
          <w:lang w:eastAsia="pl-PL"/>
        </w:rPr>
      </w:pPr>
      <w:r>
        <w:rPr>
          <w:rFonts w:eastAsia="Calibri Light" w:cs="Times New Roman" w:ascii="Times New Roman" w:hAnsi="Times New Roman"/>
          <w:b/>
          <w:bCs/>
        </w:rPr>
        <w:t xml:space="preserve">Zamawiający nie stawia warunku w tym zakresie. </w:t>
      </w:r>
    </w:p>
    <w:p>
      <w:pPr>
        <w:pStyle w:val="Normal"/>
        <w:spacing w:lineRule="auto" w:line="240" w:before="0" w:after="0"/>
        <w:ind w:left="284" w:hanging="0"/>
        <w:jc w:val="both"/>
        <w:rPr>
          <w:rFonts w:ascii="Times New Roman" w:hAnsi="Times New Roman" w:eastAsia="Calibri Light" w:cs="Times New Roman"/>
          <w:sz w:val="12"/>
          <w:szCs w:val="12"/>
          <w:u w:val="single"/>
        </w:rPr>
      </w:pPr>
      <w:r>
        <w:rPr>
          <w:rFonts w:eastAsia="Calibri Light" w:cs="Times New Roman" w:ascii="Times New Roman" w:hAnsi="Times New Roman"/>
          <w:sz w:val="12"/>
          <w:szCs w:val="12"/>
          <w:u w:val="single"/>
        </w:rPr>
      </w:r>
    </w:p>
    <w:p>
      <w:pPr>
        <w:pStyle w:val="Normal"/>
        <w:widowControl/>
        <w:numPr>
          <w:ilvl w:val="0"/>
          <w:numId w:val="14"/>
        </w:numPr>
        <w:suppressAutoHyphens w:val="true"/>
        <w:bidi w:val="0"/>
        <w:spacing w:lineRule="auto" w:line="240" w:before="0" w:after="60"/>
        <w:ind w:left="227" w:right="0" w:hanging="227"/>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uprawnień do prowadzenia określonej działalności gospodarczej lub zawodowej, o ile wynika to z odrębnych przepisów:</w:t>
      </w:r>
    </w:p>
    <w:p>
      <w:pPr>
        <w:pStyle w:val="Normal"/>
        <w:spacing w:lineRule="auto" w:line="240" w:before="0" w:after="0"/>
        <w:ind w:left="284" w:hanging="0"/>
        <w:jc w:val="both"/>
        <w:rPr>
          <w:rFonts w:ascii="Times New Roman" w:hAnsi="Times New Roman" w:eastAsia="Times New Roman" w:cs="Times New Roman"/>
          <w:sz w:val="24"/>
          <w:szCs w:val="24"/>
          <w:lang w:eastAsia="pl-PL"/>
        </w:rPr>
      </w:pPr>
      <w:r>
        <w:rPr>
          <w:rFonts w:eastAsia="Calibri Light" w:cs="Times New Roman" w:ascii="Times New Roman" w:hAnsi="Times New Roman"/>
          <w:b/>
          <w:bCs/>
        </w:rPr>
        <w:t xml:space="preserve">Zamawiający nie stawia warunku w tym zakresie. </w:t>
      </w:r>
    </w:p>
    <w:p>
      <w:pPr>
        <w:pStyle w:val="Normal"/>
        <w:shd w:val="clear" w:color="auto" w:fill="FFFFFF"/>
        <w:spacing w:lineRule="auto" w:line="240" w:before="0" w:after="0"/>
        <w:ind w:left="284" w:hanging="0"/>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numPr>
          <w:ilvl w:val="0"/>
          <w:numId w:val="14"/>
        </w:numPr>
        <w:spacing w:lineRule="auto" w:line="240" w:before="0" w:after="60"/>
        <w:ind w:left="284" w:hanging="284"/>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sytuacji ekonomicznej lub finansowej:</w:t>
      </w:r>
    </w:p>
    <w:p>
      <w:pPr>
        <w:pStyle w:val="Normal"/>
        <w:spacing w:lineRule="auto" w:line="240" w:before="0" w:after="0"/>
        <w:ind w:left="284" w:hanging="284"/>
        <w:jc w:val="both"/>
        <w:rPr>
          <w:rFonts w:ascii="Times New Roman" w:hAnsi="Times New Roman" w:eastAsia="Times New Roman" w:cs="Times New Roman"/>
          <w:sz w:val="24"/>
          <w:szCs w:val="24"/>
          <w:lang w:eastAsia="pl-PL"/>
        </w:rPr>
      </w:pPr>
      <w:r>
        <w:rPr>
          <w:rFonts w:eastAsia="Calibri Light" w:cs="Times New Roman" w:ascii="Times New Roman" w:hAnsi="Times New Roman"/>
          <w:b/>
          <w:bCs/>
        </w:rPr>
        <w:t xml:space="preserve">  </w:t>
      </w:r>
      <w:r>
        <w:rPr>
          <w:rFonts w:eastAsia="Calibri Light" w:cs="Times New Roman" w:ascii="Times New Roman" w:hAnsi="Times New Roman"/>
          <w:b/>
          <w:bCs/>
        </w:rPr>
        <w:tab/>
      </w:r>
      <w:bookmarkStart w:id="7" w:name="_Hlk63845732"/>
      <w:r>
        <w:rPr>
          <w:rFonts w:eastAsia="Calibri Light" w:cs="Times New Roman" w:ascii="Times New Roman" w:hAnsi="Times New Roman"/>
          <w:b/>
          <w:bCs/>
        </w:rPr>
        <w:t xml:space="preserve">Zamawiający nie stawia warunku w tym zakresie. </w:t>
      </w:r>
      <w:bookmarkEnd w:id="7"/>
    </w:p>
    <w:p>
      <w:pPr>
        <w:pStyle w:val="Normal"/>
        <w:spacing w:lineRule="auto" w:line="240" w:before="0" w:after="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tab/>
      </w:r>
    </w:p>
    <w:p>
      <w:pPr>
        <w:pStyle w:val="Normal"/>
        <w:widowControl/>
        <w:numPr>
          <w:ilvl w:val="0"/>
          <w:numId w:val="14"/>
        </w:numPr>
        <w:suppressAutoHyphens w:val="true"/>
        <w:bidi w:val="0"/>
        <w:spacing w:lineRule="auto" w:line="240" w:before="0" w:after="60"/>
        <w:ind w:left="283" w:right="0" w:hanging="283"/>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zdolności technicznej lub zawodowej:</w:t>
      </w:r>
    </w:p>
    <w:p>
      <w:pPr>
        <w:pStyle w:val="ListParagraph"/>
        <w:ind w:left="218" w:hanging="0"/>
        <w:jc w:val="both"/>
        <w:rPr/>
      </w:pPr>
      <w:r>
        <w:rPr>
          <w:rFonts w:eastAsia="Calibri Light"/>
          <w:b/>
          <w:bCs/>
        </w:rPr>
        <w:t xml:space="preserve">Zamawiający nie stawia warunku w tym zakresie.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Podstawy wykluczenia</w:t>
      </w:r>
    </w:p>
    <w:p>
      <w:pPr>
        <w:pStyle w:val="Normal"/>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38"/>
        </w:numPr>
        <w:tabs>
          <w:tab w:val="clear" w:pos="708"/>
          <w:tab w:val="left" w:pos="426" w:leader="none"/>
        </w:tabs>
        <w:suppressAutoHyphens w:val="false"/>
        <w:ind w:left="284" w:right="112" w:hanging="284"/>
        <w:jc w:val="both"/>
        <w:rPr>
          <w:sz w:val="22"/>
          <w:szCs w:val="22"/>
        </w:rPr>
      </w:pPr>
      <w:r>
        <w:rPr>
          <w:sz w:val="22"/>
          <w:szCs w:val="22"/>
        </w:rPr>
        <w:t xml:space="preserve">Zamawiający </w:t>
      </w:r>
      <w:r>
        <w:rPr>
          <w:b/>
          <w:sz w:val="22"/>
          <w:szCs w:val="22"/>
        </w:rPr>
        <w:t>wykluczy</w:t>
      </w:r>
      <w:r>
        <w:rPr>
          <w:sz w:val="22"/>
          <w:szCs w:val="22"/>
        </w:rPr>
        <w:t xml:space="preserve"> z postępowania wykonawców, wobec których zachodzą podstawy wykluczenia, o których mowa w art. 108 ust. 1 ustawy Pzp. Z</w:t>
      </w:r>
      <w:r>
        <w:rPr>
          <w:spacing w:val="16"/>
          <w:sz w:val="22"/>
          <w:szCs w:val="22"/>
        </w:rPr>
        <w:t xml:space="preserve"> </w:t>
      </w:r>
      <w:r>
        <w:rPr>
          <w:sz w:val="22"/>
          <w:szCs w:val="22"/>
        </w:rPr>
        <w:t>postępowania</w:t>
      </w:r>
      <w:r>
        <w:rPr>
          <w:spacing w:val="19"/>
          <w:sz w:val="22"/>
          <w:szCs w:val="22"/>
        </w:rPr>
        <w:t xml:space="preserve"> </w:t>
      </w:r>
      <w:r>
        <w:rPr>
          <w:sz w:val="22"/>
          <w:szCs w:val="22"/>
        </w:rPr>
        <w:t>o</w:t>
      </w:r>
      <w:r>
        <w:rPr>
          <w:spacing w:val="17"/>
          <w:sz w:val="22"/>
          <w:szCs w:val="22"/>
        </w:rPr>
        <w:t xml:space="preserve"> </w:t>
      </w:r>
      <w:r>
        <w:rPr>
          <w:sz w:val="22"/>
          <w:szCs w:val="22"/>
        </w:rPr>
        <w:t>udzielenie</w:t>
      </w:r>
      <w:r>
        <w:rPr>
          <w:spacing w:val="17"/>
          <w:sz w:val="22"/>
          <w:szCs w:val="22"/>
        </w:rPr>
        <w:t xml:space="preserve"> </w:t>
      </w:r>
      <w:r>
        <w:rPr>
          <w:sz w:val="22"/>
          <w:szCs w:val="22"/>
        </w:rPr>
        <w:t>zamówienia</w:t>
      </w:r>
      <w:r>
        <w:rPr>
          <w:spacing w:val="18"/>
          <w:sz w:val="22"/>
          <w:szCs w:val="22"/>
        </w:rPr>
        <w:t xml:space="preserve"> </w:t>
      </w:r>
      <w:r>
        <w:rPr>
          <w:sz w:val="22"/>
          <w:szCs w:val="22"/>
        </w:rPr>
        <w:t>wyklucza</w:t>
      </w:r>
      <w:r>
        <w:rPr>
          <w:spacing w:val="18"/>
          <w:sz w:val="22"/>
          <w:szCs w:val="22"/>
        </w:rPr>
        <w:t xml:space="preserve"> </w:t>
      </w:r>
      <w:r>
        <w:rPr>
          <w:sz w:val="22"/>
          <w:szCs w:val="22"/>
        </w:rPr>
        <w:t>się̨,</w:t>
      </w:r>
      <w:r>
        <w:rPr>
          <w:spacing w:val="17"/>
          <w:sz w:val="22"/>
          <w:szCs w:val="22"/>
        </w:rPr>
        <w:t xml:space="preserve"> </w:t>
      </w:r>
      <w:r>
        <w:rPr>
          <w:sz w:val="22"/>
          <w:szCs w:val="22"/>
        </w:rPr>
        <w:t>z</w:t>
      </w:r>
      <w:r>
        <w:rPr>
          <w:spacing w:val="17"/>
          <w:sz w:val="22"/>
          <w:szCs w:val="22"/>
        </w:rPr>
        <w:t xml:space="preserve"> </w:t>
      </w:r>
      <w:r>
        <w:rPr>
          <w:sz w:val="22"/>
          <w:szCs w:val="22"/>
        </w:rPr>
        <w:t>zastrzeżeniem</w:t>
      </w:r>
      <w:r>
        <w:rPr>
          <w:spacing w:val="18"/>
          <w:sz w:val="22"/>
          <w:szCs w:val="22"/>
        </w:rPr>
        <w:t xml:space="preserve"> </w:t>
      </w:r>
      <w:r>
        <w:rPr>
          <w:sz w:val="22"/>
          <w:szCs w:val="22"/>
        </w:rPr>
        <w:t>art. 110</w:t>
      </w:r>
      <w:r>
        <w:rPr>
          <w:spacing w:val="-2"/>
          <w:sz w:val="22"/>
          <w:szCs w:val="22"/>
        </w:rPr>
        <w:t xml:space="preserve"> </w:t>
      </w:r>
      <w:r>
        <w:rPr>
          <w:sz w:val="22"/>
          <w:szCs w:val="22"/>
        </w:rPr>
        <w:t>ust.</w:t>
      </w:r>
      <w:r>
        <w:rPr>
          <w:spacing w:val="1"/>
          <w:sz w:val="22"/>
          <w:szCs w:val="22"/>
        </w:rPr>
        <w:t xml:space="preserve"> </w:t>
      </w:r>
      <w:r>
        <w:rPr>
          <w:sz w:val="22"/>
          <w:szCs w:val="22"/>
        </w:rPr>
        <w:t>2</w:t>
      </w:r>
      <w:r>
        <w:rPr>
          <w:spacing w:val="-2"/>
          <w:sz w:val="22"/>
          <w:szCs w:val="22"/>
        </w:rPr>
        <w:t xml:space="preserve"> </w:t>
      </w:r>
      <w:r>
        <w:rPr>
          <w:sz w:val="22"/>
          <w:szCs w:val="22"/>
        </w:rPr>
        <w:t>Pzp,</w:t>
      </w:r>
      <w:r>
        <w:rPr>
          <w:spacing w:val="1"/>
          <w:sz w:val="22"/>
          <w:szCs w:val="22"/>
        </w:rPr>
        <w:t xml:space="preserve"> </w:t>
      </w:r>
      <w:r>
        <w:rPr>
          <w:sz w:val="22"/>
          <w:szCs w:val="22"/>
        </w:rPr>
        <w:t>Wykonawcę:</w:t>
      </w:r>
    </w:p>
    <w:p>
      <w:pPr>
        <w:pStyle w:val="ListParagraph"/>
        <w:numPr>
          <w:ilvl w:val="1"/>
          <w:numId w:val="40"/>
        </w:numPr>
        <w:tabs>
          <w:tab w:val="clear" w:pos="708"/>
          <w:tab w:val="left" w:pos="628" w:leader="none"/>
          <w:tab w:val="left" w:pos="851" w:leader="none"/>
        </w:tabs>
        <w:suppressAutoHyphens w:val="false"/>
        <w:ind w:left="426" w:hanging="426"/>
        <w:jc w:val="both"/>
        <w:rPr>
          <w:sz w:val="22"/>
          <w:szCs w:val="22"/>
        </w:rPr>
      </w:pPr>
      <w:r>
        <w:rPr>
          <w:sz w:val="22"/>
          <w:szCs w:val="22"/>
        </w:rPr>
        <w:t xml:space="preserve"> </w:t>
      </w:r>
      <w:r>
        <w:rPr>
          <w:sz w:val="22"/>
          <w:szCs w:val="22"/>
        </w:rPr>
        <w:t>będącego osobą fizyczną, którego prawomocnie skazano za</w:t>
      </w:r>
      <w:r>
        <w:rPr>
          <w:spacing w:val="6"/>
          <w:sz w:val="22"/>
          <w:szCs w:val="22"/>
        </w:rPr>
        <w:t xml:space="preserve"> </w:t>
      </w:r>
      <w:r>
        <w:rPr>
          <w:sz w:val="22"/>
          <w:szCs w:val="22"/>
        </w:rPr>
        <w:t>przestępstwo:</w:t>
      </w:r>
    </w:p>
    <w:p>
      <w:pPr>
        <w:pStyle w:val="ListParagraph"/>
        <w:numPr>
          <w:ilvl w:val="0"/>
          <w:numId w:val="39"/>
        </w:numPr>
        <w:tabs>
          <w:tab w:val="clear" w:pos="708"/>
          <w:tab w:val="left" w:pos="709" w:leader="none"/>
        </w:tabs>
        <w:suppressAutoHyphens w:val="false"/>
        <w:ind w:left="709" w:right="110" w:hanging="283"/>
        <w:jc w:val="both"/>
        <w:rPr>
          <w:sz w:val="22"/>
          <w:szCs w:val="22"/>
        </w:rPr>
      </w:pPr>
      <w:r>
        <w:rPr>
          <w:sz w:val="22"/>
          <w:szCs w:val="22"/>
        </w:rPr>
        <w:t xml:space="preserve">udziału w zorganizowanej grupie przestępczej albo związku mającym na celu popełnienie przestępstwa lub przestępstwa skarbowego, o którym mowa w art. </w:t>
      </w:r>
      <w:r>
        <w:rPr>
          <w:spacing w:val="-2"/>
          <w:sz w:val="22"/>
          <w:szCs w:val="22"/>
        </w:rPr>
        <w:t>258</w:t>
      </w:r>
      <w:r>
        <w:rPr>
          <w:spacing w:val="16"/>
          <w:sz w:val="22"/>
          <w:szCs w:val="22"/>
        </w:rPr>
        <w:t xml:space="preserve"> </w:t>
      </w:r>
      <w:r>
        <w:rPr>
          <w:sz w:val="22"/>
          <w:szCs w:val="22"/>
        </w:rPr>
        <w:t>Kodeksu karnego,</w:t>
      </w:r>
    </w:p>
    <w:p>
      <w:pPr>
        <w:pStyle w:val="ListParagraph"/>
        <w:numPr>
          <w:ilvl w:val="0"/>
          <w:numId w:val="39"/>
        </w:numPr>
        <w:tabs>
          <w:tab w:val="clear" w:pos="708"/>
          <w:tab w:val="left" w:pos="412" w:leader="none"/>
          <w:tab w:val="left" w:pos="709" w:leader="none"/>
        </w:tabs>
        <w:suppressAutoHyphens w:val="false"/>
        <w:ind w:left="709" w:hanging="283"/>
        <w:jc w:val="both"/>
        <w:rPr>
          <w:sz w:val="22"/>
          <w:szCs w:val="22"/>
        </w:rPr>
      </w:pPr>
      <w:r>
        <w:rPr>
          <w:sz w:val="22"/>
          <w:szCs w:val="22"/>
        </w:rPr>
        <w:t>handlu ludźmi, o którym mowa w art. 189a Kodeksu</w:t>
      </w:r>
      <w:r>
        <w:rPr>
          <w:spacing w:val="1"/>
          <w:sz w:val="22"/>
          <w:szCs w:val="22"/>
        </w:rPr>
        <w:t xml:space="preserve"> </w:t>
      </w:r>
      <w:r>
        <w:rPr>
          <w:sz w:val="22"/>
          <w:szCs w:val="22"/>
        </w:rPr>
        <w:t>karnego,</w:t>
      </w:r>
    </w:p>
    <w:p>
      <w:pPr>
        <w:pStyle w:val="ListParagraph"/>
        <w:numPr>
          <w:ilvl w:val="0"/>
          <w:numId w:val="39"/>
        </w:numPr>
        <w:tabs>
          <w:tab w:val="clear" w:pos="708"/>
          <w:tab w:val="left" w:pos="398" w:leader="none"/>
          <w:tab w:val="left" w:pos="709" w:leader="none"/>
        </w:tabs>
        <w:suppressAutoHyphens w:val="false"/>
        <w:ind w:left="709" w:right="112" w:hanging="283"/>
        <w:jc w:val="both"/>
        <w:rPr>
          <w:sz w:val="22"/>
          <w:szCs w:val="22"/>
        </w:rPr>
      </w:pPr>
      <w:r>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pPr>
        <w:pStyle w:val="ListParagraph"/>
        <w:numPr>
          <w:ilvl w:val="0"/>
          <w:numId w:val="39"/>
        </w:numPr>
        <w:tabs>
          <w:tab w:val="clear" w:pos="708"/>
          <w:tab w:val="left" w:pos="407" w:leader="none"/>
          <w:tab w:val="left" w:pos="709" w:leader="none"/>
        </w:tabs>
        <w:suppressAutoHyphens w:val="false"/>
        <w:ind w:left="709" w:right="110" w:hanging="283"/>
        <w:jc w:val="both"/>
        <w:rPr>
          <w:sz w:val="22"/>
          <w:szCs w:val="22"/>
        </w:rPr>
      </w:pPr>
      <w:r>
        <w:rPr>
          <w:sz w:val="22"/>
          <w:szCs w:val="22"/>
        </w:rPr>
        <w:t>finansowania</w:t>
      </w:r>
      <w:r>
        <w:rPr>
          <w:spacing w:val="-3"/>
          <w:sz w:val="22"/>
          <w:szCs w:val="22"/>
        </w:rPr>
        <w:t xml:space="preserve"> </w:t>
      </w:r>
      <w:r>
        <w:rPr>
          <w:sz w:val="22"/>
          <w:szCs w:val="22"/>
        </w:rPr>
        <w:t>przestępstwa</w:t>
      </w:r>
      <w:r>
        <w:rPr>
          <w:spacing w:val="-5"/>
          <w:sz w:val="22"/>
          <w:szCs w:val="22"/>
        </w:rPr>
        <w:t xml:space="preserve"> </w:t>
      </w:r>
      <w:r>
        <w:rPr>
          <w:sz w:val="22"/>
          <w:szCs w:val="22"/>
        </w:rPr>
        <w:t>o</w:t>
      </w:r>
      <w:r>
        <w:rPr>
          <w:spacing w:val="-5"/>
          <w:sz w:val="22"/>
          <w:szCs w:val="22"/>
        </w:rPr>
        <w:t xml:space="preserve"> </w:t>
      </w:r>
      <w:r>
        <w:rPr>
          <w:sz w:val="22"/>
          <w:szCs w:val="22"/>
        </w:rPr>
        <w:t>charakterze</w:t>
      </w:r>
      <w:r>
        <w:rPr>
          <w:spacing w:val="-5"/>
          <w:sz w:val="22"/>
          <w:szCs w:val="22"/>
        </w:rPr>
        <w:t xml:space="preserve"> </w:t>
      </w:r>
      <w:r>
        <w:rPr>
          <w:sz w:val="22"/>
          <w:szCs w:val="22"/>
        </w:rPr>
        <w:t>terrorystycznym,</w:t>
      </w:r>
      <w:r>
        <w:rPr>
          <w:spacing w:val="-4"/>
          <w:sz w:val="22"/>
          <w:szCs w:val="22"/>
        </w:rPr>
        <w:t xml:space="preserve"> </w:t>
      </w:r>
      <w:r>
        <w:rPr>
          <w:sz w:val="22"/>
          <w:szCs w:val="22"/>
        </w:rPr>
        <w:t>o</w:t>
      </w:r>
      <w:r>
        <w:rPr>
          <w:spacing w:val="-4"/>
          <w:sz w:val="22"/>
          <w:szCs w:val="22"/>
        </w:rPr>
        <w:t xml:space="preserve"> </w:t>
      </w:r>
      <w:r>
        <w:rPr>
          <w:sz w:val="22"/>
          <w:szCs w:val="22"/>
        </w:rPr>
        <w:t>którym</w:t>
      </w:r>
      <w:r>
        <w:rPr>
          <w:spacing w:val="-6"/>
          <w:sz w:val="22"/>
          <w:szCs w:val="22"/>
        </w:rPr>
        <w:t xml:space="preserve"> </w:t>
      </w:r>
      <w:r>
        <w:rPr>
          <w:sz w:val="22"/>
          <w:szCs w:val="22"/>
        </w:rPr>
        <w:t>mowa</w:t>
      </w:r>
      <w:r>
        <w:rPr>
          <w:spacing w:val="-4"/>
          <w:sz w:val="22"/>
          <w:szCs w:val="22"/>
        </w:rPr>
        <w:t xml:space="preserve"> </w:t>
      </w:r>
      <w:r>
        <w:rPr>
          <w:sz w:val="22"/>
          <w:szCs w:val="22"/>
        </w:rPr>
        <w:t>w</w:t>
      </w:r>
      <w:r>
        <w:rPr>
          <w:spacing w:val="-7"/>
          <w:sz w:val="22"/>
          <w:szCs w:val="22"/>
        </w:rPr>
        <w:t xml:space="preserve"> </w:t>
      </w:r>
      <w:r>
        <w:rPr>
          <w:sz w:val="22"/>
          <w:szCs w:val="22"/>
        </w:rPr>
        <w:t>art. 165a</w:t>
      </w:r>
      <w:r>
        <w:rPr>
          <w:spacing w:val="-2"/>
          <w:sz w:val="22"/>
          <w:szCs w:val="22"/>
        </w:rPr>
        <w:t xml:space="preserve"> </w:t>
      </w:r>
      <w:r>
        <w:rPr>
          <w:sz w:val="22"/>
          <w:szCs w:val="22"/>
        </w:rPr>
        <w:t>Kodeksu</w:t>
      </w:r>
      <w:r>
        <w:rPr>
          <w:spacing w:val="-1"/>
          <w:sz w:val="22"/>
          <w:szCs w:val="22"/>
        </w:rPr>
        <w:t xml:space="preserve"> </w:t>
      </w:r>
      <w:r>
        <w:rPr>
          <w:sz w:val="22"/>
          <w:szCs w:val="22"/>
        </w:rPr>
        <w:t>karnego,</w:t>
      </w:r>
      <w:r>
        <w:rPr>
          <w:spacing w:val="-1"/>
          <w:sz w:val="22"/>
          <w:szCs w:val="22"/>
        </w:rPr>
        <w:t xml:space="preserve"> </w:t>
      </w:r>
      <w:r>
        <w:rPr>
          <w:sz w:val="22"/>
          <w:szCs w:val="22"/>
        </w:rPr>
        <w:t>lub</w:t>
      </w:r>
      <w:r>
        <w:rPr>
          <w:spacing w:val="-2"/>
          <w:sz w:val="22"/>
          <w:szCs w:val="22"/>
        </w:rPr>
        <w:t xml:space="preserve"> </w:t>
      </w:r>
      <w:r>
        <w:rPr>
          <w:sz w:val="22"/>
          <w:szCs w:val="22"/>
        </w:rPr>
        <w:t>przestępstwo</w:t>
      </w:r>
      <w:r>
        <w:rPr>
          <w:spacing w:val="-1"/>
          <w:sz w:val="22"/>
          <w:szCs w:val="22"/>
        </w:rPr>
        <w:t xml:space="preserve"> </w:t>
      </w:r>
      <w:r>
        <w:rPr>
          <w:sz w:val="22"/>
          <w:szCs w:val="22"/>
        </w:rPr>
        <w:t>udaremniania</w:t>
      </w:r>
      <w:r>
        <w:rPr>
          <w:spacing w:val="-1"/>
          <w:sz w:val="22"/>
          <w:szCs w:val="22"/>
        </w:rPr>
        <w:t xml:space="preserve"> </w:t>
      </w:r>
      <w:r>
        <w:rPr>
          <w:sz w:val="22"/>
          <w:szCs w:val="22"/>
        </w:rPr>
        <w:t>lub</w:t>
      </w:r>
      <w:r>
        <w:rPr>
          <w:spacing w:val="-2"/>
          <w:sz w:val="22"/>
          <w:szCs w:val="22"/>
        </w:rPr>
        <w:t xml:space="preserve"> </w:t>
      </w:r>
      <w:r>
        <w:rPr>
          <w:sz w:val="22"/>
          <w:szCs w:val="22"/>
        </w:rPr>
        <w:t>utrudniania stwierdzenia przestępnego</w:t>
      </w:r>
      <w:r>
        <w:rPr>
          <w:spacing w:val="-12"/>
          <w:sz w:val="22"/>
          <w:szCs w:val="22"/>
        </w:rPr>
        <w:t xml:space="preserve"> </w:t>
      </w:r>
      <w:r>
        <w:rPr>
          <w:sz w:val="22"/>
          <w:szCs w:val="22"/>
        </w:rPr>
        <w:t>pochodzenia</w:t>
      </w:r>
      <w:r>
        <w:rPr>
          <w:spacing w:val="-10"/>
          <w:sz w:val="22"/>
          <w:szCs w:val="22"/>
        </w:rPr>
        <w:t xml:space="preserve"> </w:t>
      </w:r>
      <w:r>
        <w:rPr>
          <w:sz w:val="22"/>
          <w:szCs w:val="22"/>
        </w:rPr>
        <w:t>pieniędzy</w:t>
      </w:r>
      <w:r>
        <w:rPr>
          <w:spacing w:val="-13"/>
          <w:sz w:val="22"/>
          <w:szCs w:val="22"/>
        </w:rPr>
        <w:t xml:space="preserve"> </w:t>
      </w:r>
      <w:r>
        <w:rPr>
          <w:sz w:val="22"/>
          <w:szCs w:val="22"/>
        </w:rPr>
        <w:t>lub</w:t>
      </w:r>
      <w:r>
        <w:rPr>
          <w:spacing w:val="-12"/>
          <w:sz w:val="22"/>
          <w:szCs w:val="22"/>
        </w:rPr>
        <w:t xml:space="preserve"> </w:t>
      </w:r>
      <w:r>
        <w:rPr>
          <w:sz w:val="22"/>
          <w:szCs w:val="22"/>
        </w:rPr>
        <w:t>ukrywania</w:t>
      </w:r>
      <w:r>
        <w:rPr>
          <w:spacing w:val="-10"/>
          <w:sz w:val="22"/>
          <w:szCs w:val="22"/>
        </w:rPr>
        <w:t xml:space="preserve"> </w:t>
      </w:r>
      <w:r>
        <w:rPr>
          <w:sz w:val="22"/>
          <w:szCs w:val="22"/>
        </w:rPr>
        <w:t>ich</w:t>
      </w:r>
      <w:r>
        <w:rPr>
          <w:spacing w:val="-14"/>
          <w:sz w:val="22"/>
          <w:szCs w:val="22"/>
        </w:rPr>
        <w:t xml:space="preserve"> </w:t>
      </w:r>
      <w:r>
        <w:rPr>
          <w:sz w:val="22"/>
          <w:szCs w:val="22"/>
        </w:rPr>
        <w:t>pochodzenia,</w:t>
      </w:r>
      <w:r>
        <w:rPr>
          <w:spacing w:val="-10"/>
          <w:sz w:val="22"/>
          <w:szCs w:val="22"/>
        </w:rPr>
        <w:t xml:space="preserve"> </w:t>
      </w:r>
      <w:r>
        <w:rPr>
          <w:sz w:val="22"/>
          <w:szCs w:val="22"/>
        </w:rPr>
        <w:t>o</w:t>
      </w:r>
      <w:r>
        <w:rPr>
          <w:spacing w:val="-12"/>
          <w:sz w:val="22"/>
          <w:szCs w:val="22"/>
        </w:rPr>
        <w:t xml:space="preserve"> </w:t>
      </w:r>
      <w:r>
        <w:rPr>
          <w:sz w:val="22"/>
          <w:szCs w:val="22"/>
        </w:rPr>
        <w:t>którym</w:t>
      </w:r>
      <w:r>
        <w:rPr>
          <w:spacing w:val="-13"/>
          <w:sz w:val="22"/>
          <w:szCs w:val="22"/>
        </w:rPr>
        <w:t xml:space="preserve"> </w:t>
      </w:r>
      <w:r>
        <w:rPr>
          <w:sz w:val="22"/>
          <w:szCs w:val="22"/>
        </w:rPr>
        <w:t>mowa w</w:t>
      </w:r>
      <w:r>
        <w:rPr>
          <w:spacing w:val="-2"/>
          <w:sz w:val="22"/>
          <w:szCs w:val="22"/>
        </w:rPr>
        <w:t xml:space="preserve"> </w:t>
      </w:r>
      <w:r>
        <w:rPr>
          <w:sz w:val="22"/>
          <w:szCs w:val="22"/>
        </w:rPr>
        <w:t>art. 299</w:t>
      </w:r>
      <w:r>
        <w:rPr>
          <w:spacing w:val="-2"/>
          <w:sz w:val="22"/>
          <w:szCs w:val="22"/>
        </w:rPr>
        <w:t xml:space="preserve"> </w:t>
      </w:r>
      <w:r>
        <w:rPr>
          <w:sz w:val="22"/>
          <w:szCs w:val="22"/>
        </w:rPr>
        <w:t>Kodeksu</w:t>
      </w:r>
      <w:r>
        <w:rPr>
          <w:spacing w:val="2"/>
          <w:sz w:val="22"/>
          <w:szCs w:val="22"/>
        </w:rPr>
        <w:t xml:space="preserve"> </w:t>
      </w:r>
      <w:r>
        <w:rPr>
          <w:sz w:val="22"/>
          <w:szCs w:val="22"/>
        </w:rPr>
        <w:t>karnego,</w:t>
      </w:r>
    </w:p>
    <w:p>
      <w:pPr>
        <w:pStyle w:val="ListParagraph"/>
        <w:numPr>
          <w:ilvl w:val="0"/>
          <w:numId w:val="39"/>
        </w:numPr>
        <w:tabs>
          <w:tab w:val="clear" w:pos="708"/>
          <w:tab w:val="left" w:pos="410" w:leader="none"/>
          <w:tab w:val="left" w:pos="709" w:leader="none"/>
        </w:tabs>
        <w:suppressAutoHyphens w:val="false"/>
        <w:ind w:left="709" w:right="110" w:hanging="283"/>
        <w:jc w:val="both"/>
        <w:rPr>
          <w:sz w:val="22"/>
          <w:szCs w:val="22"/>
        </w:rPr>
      </w:pPr>
      <w:r>
        <w:rPr>
          <w:sz w:val="22"/>
          <w:szCs w:val="22"/>
        </w:rPr>
        <w:t>o charakterze terrorystycznym, o którym mowa w art. 115 § 20 Kodeksu karnego, lub mające na celu popełnienie tego</w:t>
      </w:r>
      <w:r>
        <w:rPr>
          <w:spacing w:val="10"/>
          <w:sz w:val="22"/>
          <w:szCs w:val="22"/>
        </w:rPr>
        <w:t xml:space="preserve"> </w:t>
      </w:r>
      <w:r>
        <w:rPr>
          <w:sz w:val="22"/>
          <w:szCs w:val="22"/>
        </w:rPr>
        <w:t>przestępstwa,</w:t>
      </w:r>
    </w:p>
    <w:p>
      <w:pPr>
        <w:pStyle w:val="ListParagraph"/>
        <w:numPr>
          <w:ilvl w:val="0"/>
          <w:numId w:val="39"/>
        </w:numPr>
        <w:tabs>
          <w:tab w:val="clear" w:pos="708"/>
          <w:tab w:val="left" w:pos="364" w:leader="none"/>
          <w:tab w:val="left" w:pos="709" w:leader="none"/>
        </w:tabs>
        <w:suppressAutoHyphens w:val="false"/>
        <w:ind w:left="709" w:right="109" w:hanging="283"/>
        <w:jc w:val="both"/>
        <w:rPr>
          <w:sz w:val="22"/>
          <w:szCs w:val="22"/>
        </w:rPr>
      </w:pPr>
      <w:r>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Pr>
          <w:spacing w:val="-23"/>
          <w:sz w:val="22"/>
          <w:szCs w:val="22"/>
        </w:rPr>
        <w:t xml:space="preserve"> </w:t>
      </w:r>
      <w:r>
        <w:rPr>
          <w:sz w:val="22"/>
          <w:szCs w:val="22"/>
        </w:rPr>
        <w:t>769),</w:t>
      </w:r>
    </w:p>
    <w:p>
      <w:pPr>
        <w:pStyle w:val="ListParagraph"/>
        <w:numPr>
          <w:ilvl w:val="0"/>
          <w:numId w:val="39"/>
        </w:numPr>
        <w:tabs>
          <w:tab w:val="clear" w:pos="708"/>
          <w:tab w:val="left" w:pos="709" w:leader="none"/>
        </w:tabs>
        <w:suppressAutoHyphens w:val="false"/>
        <w:ind w:left="709" w:right="110" w:hanging="283"/>
        <w:jc w:val="both"/>
        <w:rPr>
          <w:sz w:val="22"/>
          <w:szCs w:val="22"/>
        </w:rPr>
      </w:pPr>
      <w:r>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spacing w:val="-36"/>
          <w:sz w:val="22"/>
          <w:szCs w:val="22"/>
        </w:rPr>
        <w:t xml:space="preserve"> </w:t>
      </w:r>
      <w:r>
        <w:rPr>
          <w:sz w:val="22"/>
          <w:szCs w:val="22"/>
        </w:rPr>
        <w:t>skarbowe,</w:t>
      </w:r>
    </w:p>
    <w:p>
      <w:pPr>
        <w:pStyle w:val="ListParagraph"/>
        <w:numPr>
          <w:ilvl w:val="0"/>
          <w:numId w:val="39"/>
        </w:numPr>
        <w:tabs>
          <w:tab w:val="clear" w:pos="708"/>
          <w:tab w:val="left" w:pos="415" w:leader="none"/>
          <w:tab w:val="left" w:pos="709" w:leader="none"/>
        </w:tabs>
        <w:suppressAutoHyphens w:val="false"/>
        <w:ind w:left="709" w:right="108" w:hanging="283"/>
        <w:jc w:val="both"/>
        <w:rPr>
          <w:sz w:val="22"/>
          <w:szCs w:val="22"/>
        </w:rPr>
      </w:pPr>
      <w:r>
        <w:rPr>
          <w:sz w:val="22"/>
          <w:szCs w:val="22"/>
        </w:rPr>
        <w:t>o którym mowa w art. 9 ust. 1 i 3 lub art. 10 ustawy z dnia 15 czerwca 2012 r. o skutkach powierzania wykonywania pracy cudzoziemcom przebywającym wbrew przepisom na terytorium Rzeczypospolitej</w:t>
      </w:r>
      <w:r>
        <w:rPr>
          <w:spacing w:val="43"/>
          <w:sz w:val="22"/>
          <w:szCs w:val="22"/>
        </w:rPr>
        <w:t xml:space="preserve"> </w:t>
      </w:r>
      <w:r>
        <w:rPr>
          <w:sz w:val="22"/>
          <w:szCs w:val="22"/>
        </w:rPr>
        <w:t>Polskiej</w:t>
      </w:r>
    </w:p>
    <w:p>
      <w:pPr>
        <w:pStyle w:val="Tretekstu"/>
        <w:tabs>
          <w:tab w:val="clear" w:pos="708"/>
          <w:tab w:val="left" w:pos="709" w:leader="none"/>
        </w:tabs>
        <w:spacing w:before="0" w:after="0"/>
        <w:ind w:left="709" w:hanging="283"/>
        <w:jc w:val="both"/>
        <w:rPr>
          <w:sz w:val="22"/>
          <w:szCs w:val="22"/>
        </w:rPr>
      </w:pPr>
      <w:r>
        <w:rPr>
          <w:sz w:val="22"/>
          <w:szCs w:val="22"/>
        </w:rPr>
        <w:t xml:space="preserve">– </w:t>
      </w:r>
      <w:r>
        <w:rPr>
          <w:sz w:val="22"/>
          <w:szCs w:val="22"/>
        </w:rPr>
        <w:t>lub za odpowiedni czyn zabroniony określony w przepisach prawa obcego;</w:t>
      </w:r>
    </w:p>
    <w:p>
      <w:pPr>
        <w:pStyle w:val="Tretekstu"/>
        <w:numPr>
          <w:ilvl w:val="1"/>
          <w:numId w:val="40"/>
        </w:numPr>
        <w:tabs>
          <w:tab w:val="clear" w:pos="708"/>
          <w:tab w:val="left" w:pos="851" w:leader="none"/>
        </w:tabs>
        <w:suppressAutoHyphens w:val="false"/>
        <w:spacing w:before="0" w:after="0"/>
        <w:ind w:left="426" w:right="109" w:hanging="426"/>
        <w:jc w:val="both"/>
        <w:rPr>
          <w:sz w:val="22"/>
          <w:szCs w:val="22"/>
        </w:rPr>
      </w:pPr>
      <w:r>
        <w:rPr>
          <w:sz w:val="22"/>
          <w:szCs w:val="22"/>
        </w:rPr>
        <w:t xml:space="preserve">  </w:t>
      </w:r>
      <w:r>
        <w:rPr>
          <w:sz w:val="22"/>
          <w:szCs w:val="22"/>
        </w:rPr>
        <w:t>jeżeli urzędującego członka jego organu zarządzającego lub nadzorczego, wspólnika spółki w spółce jawnej lub partnerskiej albo komplementariusza w spółce komandytowej lub komandytowo-akcyjnej lub prokurenta prawomocnie skazano</w:t>
      </w:r>
      <w:r>
        <w:rPr>
          <w:spacing w:val="65"/>
          <w:sz w:val="22"/>
          <w:szCs w:val="22"/>
        </w:rPr>
        <w:t xml:space="preserve"> </w:t>
      </w:r>
      <w:r>
        <w:rPr>
          <w:sz w:val="22"/>
          <w:szCs w:val="22"/>
        </w:rPr>
        <w:t>za przestępstwo, o którym mowa w pkt 1.1;</w:t>
      </w:r>
    </w:p>
    <w:p>
      <w:pPr>
        <w:pStyle w:val="ListParagraph"/>
        <w:numPr>
          <w:ilvl w:val="1"/>
          <w:numId w:val="40"/>
        </w:numPr>
        <w:tabs>
          <w:tab w:val="clear" w:pos="708"/>
          <w:tab w:val="left" w:pos="851" w:leader="none"/>
        </w:tabs>
        <w:suppressAutoHyphens w:val="false"/>
        <w:ind w:left="426" w:right="110" w:hanging="426"/>
        <w:jc w:val="both"/>
        <w:rPr>
          <w:sz w:val="22"/>
          <w:szCs w:val="22"/>
        </w:rPr>
      </w:pPr>
      <w:r>
        <w:rPr>
          <w:sz w:val="22"/>
          <w:szCs w:val="22"/>
        </w:rPr>
        <w:t>wobec</w:t>
      </w:r>
      <w:r>
        <w:rPr>
          <w:spacing w:val="19"/>
          <w:sz w:val="22"/>
          <w:szCs w:val="22"/>
        </w:rPr>
        <w:t xml:space="preserve"> </w:t>
      </w:r>
      <w:r>
        <w:rPr>
          <w:sz w:val="22"/>
          <w:szCs w:val="22"/>
        </w:rPr>
        <w:t>którego</w:t>
      </w:r>
      <w:r>
        <w:rPr>
          <w:spacing w:val="19"/>
          <w:sz w:val="22"/>
          <w:szCs w:val="22"/>
        </w:rPr>
        <w:t xml:space="preserve"> </w:t>
      </w:r>
      <w:r>
        <w:rPr>
          <w:sz w:val="22"/>
          <w:szCs w:val="22"/>
        </w:rPr>
        <w:t>wydano</w:t>
      </w:r>
      <w:r>
        <w:rPr>
          <w:spacing w:val="22"/>
          <w:sz w:val="22"/>
          <w:szCs w:val="22"/>
        </w:rPr>
        <w:t xml:space="preserve"> </w:t>
      </w:r>
      <w:r>
        <w:rPr>
          <w:sz w:val="22"/>
          <w:szCs w:val="22"/>
        </w:rPr>
        <w:t>prawomocny</w:t>
      </w:r>
      <w:r>
        <w:rPr>
          <w:spacing w:val="19"/>
          <w:sz w:val="22"/>
          <w:szCs w:val="22"/>
        </w:rPr>
        <w:t xml:space="preserve"> </w:t>
      </w:r>
      <w:r>
        <w:rPr>
          <w:sz w:val="22"/>
          <w:szCs w:val="22"/>
        </w:rPr>
        <w:t>wyrok</w:t>
      </w:r>
      <w:r>
        <w:rPr>
          <w:spacing w:val="20"/>
          <w:sz w:val="22"/>
          <w:szCs w:val="22"/>
        </w:rPr>
        <w:t xml:space="preserve"> </w:t>
      </w:r>
      <w:r>
        <w:rPr>
          <w:sz w:val="22"/>
          <w:szCs w:val="22"/>
        </w:rPr>
        <w:t>sądu</w:t>
      </w:r>
      <w:r>
        <w:rPr>
          <w:spacing w:val="21"/>
          <w:sz w:val="22"/>
          <w:szCs w:val="22"/>
        </w:rPr>
        <w:t xml:space="preserve"> </w:t>
      </w:r>
      <w:r>
        <w:rPr>
          <w:sz w:val="22"/>
          <w:szCs w:val="22"/>
        </w:rPr>
        <w:t>lub</w:t>
      </w:r>
      <w:r>
        <w:rPr>
          <w:spacing w:val="20"/>
          <w:sz w:val="22"/>
          <w:szCs w:val="22"/>
        </w:rPr>
        <w:t xml:space="preserve"> </w:t>
      </w:r>
      <w:r>
        <w:rPr>
          <w:sz w:val="22"/>
          <w:szCs w:val="22"/>
        </w:rPr>
        <w:t>ostateczną</w:t>
      </w:r>
      <w:r>
        <w:rPr>
          <w:spacing w:val="32"/>
          <w:sz w:val="22"/>
          <w:szCs w:val="22"/>
        </w:rPr>
        <w:t xml:space="preserve"> </w:t>
      </w:r>
      <w:r>
        <w:rPr>
          <w:sz w:val="22"/>
          <w:szCs w:val="22"/>
        </w:rPr>
        <w:t>decyzję administracyjną</w:t>
      </w:r>
      <w:r>
        <w:rPr>
          <w:spacing w:val="54"/>
          <w:sz w:val="22"/>
          <w:szCs w:val="22"/>
        </w:rPr>
        <w:t xml:space="preserve"> </w:t>
      </w:r>
      <w:r>
        <w:rPr>
          <w:sz w:val="22"/>
          <w:szCs w:val="22"/>
        </w:rPr>
        <w:t>o</w:t>
      </w:r>
      <w:r>
        <w:rPr>
          <w:spacing w:val="43"/>
          <w:sz w:val="22"/>
          <w:szCs w:val="22"/>
        </w:rPr>
        <w:t xml:space="preserve"> </w:t>
      </w:r>
      <w:r>
        <w:rPr>
          <w:sz w:val="22"/>
          <w:szCs w:val="22"/>
        </w:rPr>
        <w:t>zaleganiu</w:t>
      </w:r>
      <w:r>
        <w:rPr>
          <w:spacing w:val="44"/>
          <w:sz w:val="22"/>
          <w:szCs w:val="22"/>
        </w:rPr>
        <w:t xml:space="preserve"> </w:t>
      </w:r>
      <w:r>
        <w:rPr>
          <w:sz w:val="22"/>
          <w:szCs w:val="22"/>
        </w:rPr>
        <w:t>z</w:t>
      </w:r>
      <w:r>
        <w:rPr>
          <w:spacing w:val="42"/>
          <w:sz w:val="22"/>
          <w:szCs w:val="22"/>
        </w:rPr>
        <w:t xml:space="preserve"> </w:t>
      </w:r>
      <w:r>
        <w:rPr>
          <w:sz w:val="22"/>
          <w:szCs w:val="22"/>
        </w:rPr>
        <w:t>uiszczeniem</w:t>
      </w:r>
      <w:r>
        <w:rPr>
          <w:spacing w:val="43"/>
          <w:sz w:val="22"/>
          <w:szCs w:val="22"/>
        </w:rPr>
        <w:t xml:space="preserve"> </w:t>
      </w:r>
      <w:r>
        <w:rPr>
          <w:sz w:val="22"/>
          <w:szCs w:val="22"/>
        </w:rPr>
        <w:t>podatków,</w:t>
      </w:r>
      <w:r>
        <w:rPr>
          <w:spacing w:val="42"/>
          <w:sz w:val="22"/>
          <w:szCs w:val="22"/>
        </w:rPr>
        <w:t xml:space="preserve"> </w:t>
      </w:r>
      <w:r>
        <w:rPr>
          <w:sz w:val="22"/>
          <w:szCs w:val="22"/>
        </w:rPr>
        <w:t>opłat</w:t>
      </w:r>
      <w:r>
        <w:rPr>
          <w:spacing w:val="40"/>
          <w:sz w:val="22"/>
          <w:szCs w:val="22"/>
        </w:rPr>
        <w:t xml:space="preserve"> </w:t>
      </w:r>
      <w:r>
        <w:rPr>
          <w:sz w:val="22"/>
          <w:szCs w:val="22"/>
        </w:rPr>
        <w:t>lub</w:t>
      </w:r>
      <w:r>
        <w:rPr>
          <w:spacing w:val="41"/>
          <w:sz w:val="22"/>
          <w:szCs w:val="22"/>
        </w:rPr>
        <w:t xml:space="preserve"> </w:t>
      </w:r>
      <w:r>
        <w:rPr>
          <w:sz w:val="22"/>
          <w:szCs w:val="22"/>
        </w:rPr>
        <w:t>składek</w:t>
      </w:r>
      <w:r>
        <w:rPr>
          <w:spacing w:val="41"/>
          <w:sz w:val="22"/>
          <w:szCs w:val="22"/>
        </w:rPr>
        <w:t xml:space="preserve"> </w:t>
      </w:r>
      <w:r>
        <w:rPr>
          <w:sz w:val="22"/>
          <w:szCs w:val="22"/>
        </w:rPr>
        <w:t>na ubezpieczenie</w:t>
      </w:r>
      <w:r>
        <w:rPr>
          <w:spacing w:val="33"/>
          <w:sz w:val="22"/>
          <w:szCs w:val="22"/>
        </w:rPr>
        <w:t xml:space="preserve"> </w:t>
      </w:r>
      <w:r>
        <w:rPr>
          <w:sz w:val="22"/>
          <w:szCs w:val="22"/>
        </w:rPr>
        <w:t>społeczne</w:t>
      </w:r>
      <w:r>
        <w:rPr>
          <w:spacing w:val="33"/>
          <w:sz w:val="22"/>
          <w:szCs w:val="22"/>
        </w:rPr>
        <w:t xml:space="preserve"> </w:t>
      </w:r>
      <w:r>
        <w:rPr>
          <w:sz w:val="22"/>
          <w:szCs w:val="22"/>
        </w:rPr>
        <w:t>lub</w:t>
      </w:r>
      <w:r>
        <w:rPr>
          <w:spacing w:val="31"/>
          <w:sz w:val="22"/>
          <w:szCs w:val="22"/>
        </w:rPr>
        <w:t xml:space="preserve"> </w:t>
      </w:r>
      <w:r>
        <w:rPr>
          <w:sz w:val="22"/>
          <w:szCs w:val="22"/>
        </w:rPr>
        <w:t>zdrowotne,</w:t>
      </w:r>
      <w:r>
        <w:rPr>
          <w:spacing w:val="33"/>
          <w:sz w:val="22"/>
          <w:szCs w:val="22"/>
        </w:rPr>
        <w:t xml:space="preserve"> </w:t>
      </w:r>
      <w:r>
        <w:rPr>
          <w:sz w:val="22"/>
          <w:szCs w:val="22"/>
        </w:rPr>
        <w:t>chyba</w:t>
      </w:r>
      <w:r>
        <w:rPr>
          <w:spacing w:val="32"/>
          <w:sz w:val="22"/>
          <w:szCs w:val="22"/>
        </w:rPr>
        <w:t xml:space="preserve"> </w:t>
      </w:r>
      <w:r>
        <w:rPr>
          <w:sz w:val="22"/>
          <w:szCs w:val="22"/>
        </w:rPr>
        <w:t>że</w:t>
      </w:r>
      <w:r>
        <w:rPr>
          <w:spacing w:val="32"/>
          <w:sz w:val="22"/>
          <w:szCs w:val="22"/>
        </w:rPr>
        <w:t xml:space="preserve"> </w:t>
      </w:r>
      <w:r>
        <w:rPr>
          <w:sz w:val="22"/>
          <w:szCs w:val="22"/>
        </w:rPr>
        <w:t>wykonawca</w:t>
      </w:r>
      <w:r>
        <w:rPr>
          <w:spacing w:val="33"/>
          <w:sz w:val="22"/>
          <w:szCs w:val="22"/>
        </w:rPr>
        <w:t xml:space="preserve"> </w:t>
      </w:r>
      <w:r>
        <w:rPr>
          <w:sz w:val="22"/>
          <w:szCs w:val="22"/>
        </w:rPr>
        <w:t>odpowiednio</w:t>
      </w:r>
      <w:r>
        <w:rPr>
          <w:spacing w:val="33"/>
          <w:sz w:val="22"/>
          <w:szCs w:val="22"/>
        </w:rPr>
        <w:t xml:space="preserve"> </w:t>
      </w:r>
      <w:r>
        <w:rPr>
          <w:sz w:val="22"/>
          <w:szCs w:val="22"/>
        </w:rPr>
        <w:t>przed upływem</w:t>
      </w:r>
      <w:r>
        <w:rPr>
          <w:spacing w:val="-5"/>
          <w:sz w:val="22"/>
          <w:szCs w:val="22"/>
        </w:rPr>
        <w:t xml:space="preserve"> </w:t>
      </w:r>
      <w:r>
        <w:rPr>
          <w:sz w:val="22"/>
          <w:szCs w:val="22"/>
        </w:rPr>
        <w:t>terminu</w:t>
      </w:r>
      <w:r>
        <w:rPr>
          <w:spacing w:val="-4"/>
          <w:sz w:val="22"/>
          <w:szCs w:val="22"/>
        </w:rPr>
        <w:t xml:space="preserve"> </w:t>
      </w:r>
      <w:r>
        <w:rPr>
          <w:sz w:val="22"/>
          <w:szCs w:val="22"/>
        </w:rPr>
        <w:t>do</w:t>
      </w:r>
      <w:r>
        <w:rPr>
          <w:spacing w:val="-4"/>
          <w:sz w:val="22"/>
          <w:szCs w:val="22"/>
        </w:rPr>
        <w:t xml:space="preserve"> </w:t>
      </w:r>
      <w:r>
        <w:rPr>
          <w:sz w:val="22"/>
          <w:szCs w:val="22"/>
        </w:rPr>
        <w:t>składania</w:t>
      </w:r>
      <w:r>
        <w:rPr>
          <w:spacing w:val="-4"/>
          <w:sz w:val="22"/>
          <w:szCs w:val="22"/>
        </w:rPr>
        <w:t xml:space="preserve"> </w:t>
      </w:r>
      <w:r>
        <w:rPr>
          <w:sz w:val="22"/>
          <w:szCs w:val="22"/>
        </w:rPr>
        <w:t>wniosków</w:t>
      </w:r>
      <w:r>
        <w:rPr>
          <w:spacing w:val="-6"/>
          <w:sz w:val="22"/>
          <w:szCs w:val="22"/>
        </w:rPr>
        <w:t xml:space="preserve"> </w:t>
      </w:r>
      <w:r>
        <w:rPr>
          <w:sz w:val="22"/>
          <w:szCs w:val="22"/>
        </w:rPr>
        <w:t>o</w:t>
      </w:r>
      <w:r>
        <w:rPr>
          <w:spacing w:val="-5"/>
          <w:sz w:val="22"/>
          <w:szCs w:val="22"/>
        </w:rPr>
        <w:t xml:space="preserve"> </w:t>
      </w:r>
      <w:r>
        <w:rPr>
          <w:sz w:val="22"/>
          <w:szCs w:val="22"/>
        </w:rPr>
        <w:t>dopuszczenie</w:t>
      </w:r>
      <w:r>
        <w:rPr>
          <w:spacing w:val="-3"/>
          <w:sz w:val="22"/>
          <w:szCs w:val="22"/>
        </w:rPr>
        <w:t xml:space="preserve"> </w:t>
      </w:r>
      <w:r>
        <w:rPr>
          <w:sz w:val="22"/>
          <w:szCs w:val="22"/>
        </w:rPr>
        <w:t>do</w:t>
      </w:r>
      <w:r>
        <w:rPr>
          <w:spacing w:val="-5"/>
          <w:sz w:val="22"/>
          <w:szCs w:val="22"/>
        </w:rPr>
        <w:t xml:space="preserve"> </w:t>
      </w:r>
      <w:r>
        <w:rPr>
          <w:sz w:val="22"/>
          <w:szCs w:val="22"/>
        </w:rPr>
        <w:t>udziału</w:t>
      </w:r>
      <w:r>
        <w:rPr>
          <w:spacing w:val="-3"/>
          <w:sz w:val="22"/>
          <w:szCs w:val="22"/>
        </w:rPr>
        <w:t xml:space="preserve"> </w:t>
      </w:r>
      <w:r>
        <w:rPr>
          <w:sz w:val="22"/>
          <w:szCs w:val="22"/>
        </w:rPr>
        <w:t>w</w:t>
      </w:r>
      <w:r>
        <w:rPr>
          <w:spacing w:val="-7"/>
          <w:sz w:val="22"/>
          <w:szCs w:val="22"/>
        </w:rPr>
        <w:t xml:space="preserve"> </w:t>
      </w:r>
      <w:r>
        <w:rPr>
          <w:sz w:val="22"/>
          <w:szCs w:val="22"/>
        </w:rPr>
        <w:t>postepowaniu albo</w:t>
      </w:r>
      <w:r>
        <w:rPr>
          <w:spacing w:val="-2"/>
          <w:sz w:val="22"/>
          <w:szCs w:val="22"/>
        </w:rPr>
        <w:t xml:space="preserve"> </w:t>
      </w:r>
      <w:r>
        <w:rPr>
          <w:sz w:val="22"/>
          <w:szCs w:val="22"/>
        </w:rPr>
        <w:t>przed</w:t>
      </w:r>
      <w:r>
        <w:rPr>
          <w:spacing w:val="-2"/>
          <w:sz w:val="22"/>
          <w:szCs w:val="22"/>
        </w:rPr>
        <w:t xml:space="preserve"> </w:t>
      </w:r>
      <w:r>
        <w:rPr>
          <w:sz w:val="22"/>
          <w:szCs w:val="22"/>
        </w:rPr>
        <w:t>upływem</w:t>
      </w:r>
      <w:r>
        <w:rPr>
          <w:spacing w:val="-2"/>
          <w:sz w:val="22"/>
          <w:szCs w:val="22"/>
        </w:rPr>
        <w:t xml:space="preserve"> </w:t>
      </w:r>
      <w:r>
        <w:rPr>
          <w:sz w:val="22"/>
          <w:szCs w:val="22"/>
        </w:rPr>
        <w:t>terminu</w:t>
      </w:r>
      <w:r>
        <w:rPr>
          <w:spacing w:val="-4"/>
          <w:sz w:val="22"/>
          <w:szCs w:val="22"/>
        </w:rPr>
        <w:t xml:space="preserve"> </w:t>
      </w:r>
      <w:r>
        <w:rPr>
          <w:sz w:val="22"/>
          <w:szCs w:val="22"/>
        </w:rPr>
        <w:t>składania</w:t>
      </w:r>
      <w:r>
        <w:rPr>
          <w:spacing w:val="-1"/>
          <w:sz w:val="22"/>
          <w:szCs w:val="22"/>
        </w:rPr>
        <w:t xml:space="preserve"> </w:t>
      </w:r>
      <w:r>
        <w:rPr>
          <w:sz w:val="22"/>
          <w:szCs w:val="22"/>
        </w:rPr>
        <w:t>ofert</w:t>
      </w:r>
      <w:r>
        <w:rPr>
          <w:spacing w:val="-4"/>
          <w:sz w:val="22"/>
          <w:szCs w:val="22"/>
        </w:rPr>
        <w:t xml:space="preserve"> </w:t>
      </w:r>
      <w:r>
        <w:rPr>
          <w:sz w:val="22"/>
          <w:szCs w:val="22"/>
        </w:rPr>
        <w:t>dokonał</w:t>
      </w:r>
      <w:r>
        <w:rPr>
          <w:spacing w:val="-2"/>
          <w:sz w:val="22"/>
          <w:szCs w:val="22"/>
        </w:rPr>
        <w:t xml:space="preserve"> </w:t>
      </w:r>
      <w:r>
        <w:rPr>
          <w:sz w:val="22"/>
          <w:szCs w:val="22"/>
        </w:rPr>
        <w:t>płatności</w:t>
      </w:r>
      <w:r>
        <w:rPr>
          <w:spacing w:val="-2"/>
          <w:sz w:val="22"/>
          <w:szCs w:val="22"/>
        </w:rPr>
        <w:t xml:space="preserve"> </w:t>
      </w:r>
      <w:r>
        <w:rPr>
          <w:sz w:val="22"/>
          <w:szCs w:val="22"/>
        </w:rPr>
        <w:t>należnych</w:t>
      </w:r>
      <w:r>
        <w:rPr>
          <w:spacing w:val="-2"/>
          <w:sz w:val="22"/>
          <w:szCs w:val="22"/>
        </w:rPr>
        <w:t xml:space="preserve"> </w:t>
      </w:r>
      <w:r>
        <w:rPr>
          <w:sz w:val="22"/>
          <w:szCs w:val="22"/>
        </w:rPr>
        <w:t>podatków,</w:t>
      </w:r>
      <w:r>
        <w:rPr>
          <w:spacing w:val="-1"/>
          <w:sz w:val="22"/>
          <w:szCs w:val="22"/>
        </w:rPr>
        <w:t xml:space="preserve"> </w:t>
      </w:r>
      <w:r>
        <w:rPr>
          <w:sz w:val="22"/>
          <w:szCs w:val="22"/>
        </w:rPr>
        <w:t>opłat</w:t>
      </w:r>
      <w:r>
        <w:rPr>
          <w:spacing w:val="16"/>
          <w:sz w:val="22"/>
          <w:szCs w:val="22"/>
        </w:rPr>
        <w:t xml:space="preserve"> </w:t>
      </w:r>
      <w:r>
        <w:rPr>
          <w:sz w:val="22"/>
          <w:szCs w:val="22"/>
        </w:rPr>
        <w:t>lub</w:t>
      </w:r>
      <w:r>
        <w:rPr>
          <w:spacing w:val="16"/>
          <w:sz w:val="22"/>
          <w:szCs w:val="22"/>
        </w:rPr>
        <w:t xml:space="preserve"> </w:t>
      </w:r>
      <w:r>
        <w:rPr>
          <w:sz w:val="22"/>
          <w:szCs w:val="22"/>
        </w:rPr>
        <w:t>składek</w:t>
      </w:r>
      <w:r>
        <w:rPr>
          <w:spacing w:val="15"/>
          <w:sz w:val="22"/>
          <w:szCs w:val="22"/>
        </w:rPr>
        <w:t xml:space="preserve"> </w:t>
      </w:r>
      <w:r>
        <w:rPr>
          <w:sz w:val="22"/>
          <w:szCs w:val="22"/>
        </w:rPr>
        <w:t>na</w:t>
      </w:r>
      <w:r>
        <w:rPr>
          <w:spacing w:val="18"/>
          <w:sz w:val="22"/>
          <w:szCs w:val="22"/>
        </w:rPr>
        <w:t xml:space="preserve"> </w:t>
      </w:r>
      <w:r>
        <w:rPr>
          <w:sz w:val="22"/>
          <w:szCs w:val="22"/>
        </w:rPr>
        <w:t>ubezpieczenie</w:t>
      </w:r>
      <w:r>
        <w:rPr>
          <w:spacing w:val="16"/>
          <w:sz w:val="22"/>
          <w:szCs w:val="22"/>
        </w:rPr>
        <w:t xml:space="preserve"> </w:t>
      </w:r>
      <w:r>
        <w:rPr>
          <w:sz w:val="22"/>
          <w:szCs w:val="22"/>
        </w:rPr>
        <w:t>społeczne</w:t>
      </w:r>
      <w:r>
        <w:rPr>
          <w:spacing w:val="19"/>
          <w:sz w:val="22"/>
          <w:szCs w:val="22"/>
        </w:rPr>
        <w:t xml:space="preserve"> </w:t>
      </w:r>
      <w:r>
        <w:rPr>
          <w:sz w:val="22"/>
          <w:szCs w:val="22"/>
        </w:rPr>
        <w:t>lub</w:t>
      </w:r>
      <w:r>
        <w:rPr>
          <w:spacing w:val="15"/>
          <w:sz w:val="22"/>
          <w:szCs w:val="22"/>
        </w:rPr>
        <w:t xml:space="preserve"> </w:t>
      </w:r>
      <w:r>
        <w:rPr>
          <w:sz w:val="22"/>
          <w:szCs w:val="22"/>
        </w:rPr>
        <w:t>zdrowotne</w:t>
      </w:r>
      <w:r>
        <w:rPr>
          <w:spacing w:val="18"/>
          <w:sz w:val="22"/>
          <w:szCs w:val="22"/>
        </w:rPr>
        <w:t xml:space="preserve"> </w:t>
      </w:r>
      <w:r>
        <w:rPr>
          <w:sz w:val="22"/>
          <w:szCs w:val="22"/>
        </w:rPr>
        <w:t>wraz</w:t>
      </w:r>
      <w:r>
        <w:rPr>
          <w:spacing w:val="16"/>
          <w:sz w:val="22"/>
          <w:szCs w:val="22"/>
        </w:rPr>
        <w:t xml:space="preserve"> </w:t>
      </w:r>
      <w:r>
        <w:rPr>
          <w:sz w:val="22"/>
          <w:szCs w:val="22"/>
        </w:rPr>
        <w:t>z</w:t>
      </w:r>
      <w:r>
        <w:rPr>
          <w:spacing w:val="17"/>
          <w:sz w:val="22"/>
          <w:szCs w:val="22"/>
        </w:rPr>
        <w:t xml:space="preserve"> </w:t>
      </w:r>
      <w:r>
        <w:rPr>
          <w:sz w:val="22"/>
          <w:szCs w:val="22"/>
        </w:rPr>
        <w:t>odsetkami</w:t>
      </w:r>
      <w:r>
        <w:rPr>
          <w:spacing w:val="18"/>
          <w:sz w:val="22"/>
          <w:szCs w:val="22"/>
        </w:rPr>
        <w:t xml:space="preserve"> </w:t>
      </w:r>
      <w:r>
        <w:rPr>
          <w:sz w:val="22"/>
          <w:szCs w:val="22"/>
        </w:rPr>
        <w:t>lub grzywnami</w:t>
      </w:r>
      <w:r>
        <w:rPr>
          <w:spacing w:val="1"/>
          <w:sz w:val="22"/>
          <w:szCs w:val="22"/>
        </w:rPr>
        <w:t xml:space="preserve"> </w:t>
      </w:r>
      <w:r>
        <w:rPr>
          <w:sz w:val="22"/>
          <w:szCs w:val="22"/>
        </w:rPr>
        <w:t>lub zawarł</w:t>
      </w:r>
      <w:r>
        <w:rPr>
          <w:spacing w:val="-1"/>
          <w:sz w:val="22"/>
          <w:szCs w:val="22"/>
        </w:rPr>
        <w:t xml:space="preserve"> </w:t>
      </w:r>
      <w:r>
        <w:rPr>
          <w:sz w:val="22"/>
          <w:szCs w:val="22"/>
        </w:rPr>
        <w:t>wiążące porozumienie w</w:t>
      </w:r>
      <w:r>
        <w:rPr>
          <w:spacing w:val="-2"/>
          <w:sz w:val="22"/>
          <w:szCs w:val="22"/>
        </w:rPr>
        <w:t xml:space="preserve"> </w:t>
      </w:r>
      <w:r>
        <w:rPr>
          <w:sz w:val="22"/>
          <w:szCs w:val="22"/>
        </w:rPr>
        <w:t>sprawie</w:t>
      </w:r>
      <w:r>
        <w:rPr>
          <w:spacing w:val="-1"/>
          <w:sz w:val="22"/>
          <w:szCs w:val="22"/>
        </w:rPr>
        <w:t xml:space="preserve"> </w:t>
      </w:r>
      <w:r>
        <w:rPr>
          <w:sz w:val="22"/>
          <w:szCs w:val="22"/>
        </w:rPr>
        <w:t>spłaty</w:t>
      </w:r>
      <w:r>
        <w:rPr>
          <w:spacing w:val="-1"/>
          <w:sz w:val="22"/>
          <w:szCs w:val="22"/>
        </w:rPr>
        <w:t xml:space="preserve"> </w:t>
      </w:r>
      <w:r>
        <w:rPr>
          <w:sz w:val="22"/>
          <w:szCs w:val="22"/>
        </w:rPr>
        <w:t>tych</w:t>
      </w:r>
      <w:r>
        <w:rPr>
          <w:spacing w:val="-1"/>
          <w:sz w:val="22"/>
          <w:szCs w:val="22"/>
        </w:rPr>
        <w:t xml:space="preserve"> </w:t>
      </w:r>
      <w:r>
        <w:rPr>
          <w:sz w:val="22"/>
          <w:szCs w:val="22"/>
        </w:rPr>
        <w:t>należności;</w:t>
      </w:r>
    </w:p>
    <w:p>
      <w:pPr>
        <w:pStyle w:val="ListParagraph"/>
        <w:numPr>
          <w:ilvl w:val="1"/>
          <w:numId w:val="40"/>
        </w:numPr>
        <w:tabs>
          <w:tab w:val="clear" w:pos="708"/>
          <w:tab w:val="left" w:pos="628" w:leader="none"/>
          <w:tab w:val="left" w:pos="851" w:leader="none"/>
        </w:tabs>
        <w:suppressAutoHyphens w:val="false"/>
        <w:ind w:left="426" w:hanging="426"/>
        <w:jc w:val="both"/>
        <w:rPr>
          <w:sz w:val="22"/>
          <w:szCs w:val="22"/>
        </w:rPr>
      </w:pPr>
      <w:r>
        <w:rPr>
          <w:sz w:val="22"/>
          <w:szCs w:val="22"/>
        </w:rPr>
        <w:t>wobec którego prawomocnie orzeczono zakaz ubiegania się̨ o zamówienia</w:t>
      </w:r>
      <w:r>
        <w:rPr>
          <w:spacing w:val="6"/>
          <w:sz w:val="22"/>
          <w:szCs w:val="22"/>
        </w:rPr>
        <w:t xml:space="preserve"> </w:t>
      </w:r>
      <w:r>
        <w:rPr>
          <w:sz w:val="22"/>
          <w:szCs w:val="22"/>
        </w:rPr>
        <w:t>publiczne;</w:t>
      </w:r>
    </w:p>
    <w:p>
      <w:pPr>
        <w:pStyle w:val="ListParagraph"/>
        <w:numPr>
          <w:ilvl w:val="1"/>
          <w:numId w:val="40"/>
        </w:numPr>
        <w:tabs>
          <w:tab w:val="clear" w:pos="708"/>
          <w:tab w:val="left" w:pos="619" w:leader="none"/>
        </w:tabs>
        <w:suppressAutoHyphens w:val="false"/>
        <w:ind w:left="426" w:right="110" w:hanging="426"/>
        <w:jc w:val="both"/>
        <w:rPr>
          <w:sz w:val="22"/>
          <w:szCs w:val="22"/>
        </w:rPr>
      </w:pPr>
      <w:r>
        <w:rPr>
          <w:sz w:val="22"/>
          <w:szCs w:val="22"/>
        </w:rPr>
        <w:t>jeżeli</w:t>
      </w:r>
      <w:r>
        <w:rPr>
          <w:spacing w:val="-10"/>
          <w:sz w:val="22"/>
          <w:szCs w:val="22"/>
        </w:rPr>
        <w:t xml:space="preserve"> </w:t>
      </w:r>
      <w:r>
        <w:rPr>
          <w:sz w:val="22"/>
          <w:szCs w:val="22"/>
        </w:rPr>
        <w:t>Zamawiający</w:t>
      </w:r>
      <w:r>
        <w:rPr>
          <w:spacing w:val="-11"/>
          <w:sz w:val="22"/>
          <w:szCs w:val="22"/>
        </w:rPr>
        <w:t xml:space="preserve"> </w:t>
      </w:r>
      <w:r>
        <w:rPr>
          <w:sz w:val="22"/>
          <w:szCs w:val="22"/>
        </w:rPr>
        <w:t>może</w:t>
      </w:r>
      <w:r>
        <w:rPr>
          <w:spacing w:val="-9"/>
          <w:sz w:val="22"/>
          <w:szCs w:val="22"/>
        </w:rPr>
        <w:t xml:space="preserve"> </w:t>
      </w:r>
      <w:r>
        <w:rPr>
          <w:sz w:val="22"/>
          <w:szCs w:val="22"/>
        </w:rPr>
        <w:t>stwierdzić́,</w:t>
      </w:r>
      <w:r>
        <w:rPr>
          <w:spacing w:val="-9"/>
          <w:sz w:val="22"/>
          <w:szCs w:val="22"/>
        </w:rPr>
        <w:t xml:space="preserve"> </w:t>
      </w:r>
      <w:r>
        <w:rPr>
          <w:sz w:val="22"/>
          <w:szCs w:val="22"/>
        </w:rPr>
        <w:t>na</w:t>
      </w:r>
      <w:r>
        <w:rPr>
          <w:spacing w:val="-12"/>
          <w:sz w:val="22"/>
          <w:szCs w:val="22"/>
        </w:rPr>
        <w:t xml:space="preserve"> </w:t>
      </w:r>
      <w:r>
        <w:rPr>
          <w:sz w:val="22"/>
          <w:szCs w:val="22"/>
        </w:rPr>
        <w:t>podstawie</w:t>
      </w:r>
      <w:r>
        <w:rPr>
          <w:spacing w:val="-8"/>
          <w:sz w:val="22"/>
          <w:szCs w:val="22"/>
        </w:rPr>
        <w:t xml:space="preserve"> </w:t>
      </w:r>
      <w:r>
        <w:rPr>
          <w:sz w:val="22"/>
          <w:szCs w:val="22"/>
        </w:rPr>
        <w:t>wiarygodnych</w:t>
      </w:r>
      <w:r>
        <w:rPr>
          <w:spacing w:val="-8"/>
          <w:sz w:val="22"/>
          <w:szCs w:val="22"/>
        </w:rPr>
        <w:t xml:space="preserve"> </w:t>
      </w:r>
      <w:r>
        <w:rPr>
          <w:sz w:val="22"/>
          <w:szCs w:val="22"/>
        </w:rPr>
        <w:t>przesłanek,</w:t>
      </w:r>
      <w:r>
        <w:rPr>
          <w:spacing w:val="-8"/>
          <w:sz w:val="22"/>
          <w:szCs w:val="22"/>
        </w:rPr>
        <w:t xml:space="preserve"> </w:t>
      </w:r>
      <w:r>
        <w:rPr>
          <w:sz w:val="22"/>
          <w:szCs w:val="22"/>
        </w:rPr>
        <w:t>że Wykonawca</w:t>
      </w:r>
      <w:r>
        <w:rPr>
          <w:spacing w:val="1"/>
          <w:sz w:val="22"/>
          <w:szCs w:val="22"/>
        </w:rPr>
        <w:t xml:space="preserve"> </w:t>
      </w:r>
      <w:r>
        <w:rPr>
          <w:sz w:val="22"/>
          <w:szCs w:val="22"/>
        </w:rPr>
        <w:t>zawarł</w:t>
      </w:r>
      <w:r>
        <w:rPr>
          <w:spacing w:val="-1"/>
          <w:sz w:val="22"/>
          <w:szCs w:val="22"/>
        </w:rPr>
        <w:t xml:space="preserve"> </w:t>
      </w:r>
      <w:r>
        <w:rPr>
          <w:sz w:val="22"/>
          <w:szCs w:val="22"/>
        </w:rPr>
        <w:t>z</w:t>
      </w:r>
      <w:r>
        <w:rPr>
          <w:spacing w:val="-2"/>
          <w:sz w:val="22"/>
          <w:szCs w:val="22"/>
        </w:rPr>
        <w:t xml:space="preserve"> </w:t>
      </w:r>
      <w:r>
        <w:rPr>
          <w:sz w:val="22"/>
          <w:szCs w:val="22"/>
        </w:rPr>
        <w:t>innymi</w:t>
      </w:r>
      <w:r>
        <w:rPr>
          <w:spacing w:val="1"/>
          <w:sz w:val="22"/>
          <w:szCs w:val="22"/>
        </w:rPr>
        <w:t xml:space="preserve"> </w:t>
      </w:r>
      <w:r>
        <w:rPr>
          <w:sz w:val="22"/>
          <w:szCs w:val="22"/>
        </w:rPr>
        <w:t>Wykonawcami</w:t>
      </w:r>
      <w:r>
        <w:rPr>
          <w:spacing w:val="-1"/>
          <w:sz w:val="22"/>
          <w:szCs w:val="22"/>
        </w:rPr>
        <w:t xml:space="preserve"> </w:t>
      </w:r>
      <w:r>
        <w:rPr>
          <w:sz w:val="22"/>
          <w:szCs w:val="22"/>
        </w:rPr>
        <w:t>porozumienie</w:t>
      </w:r>
      <w:r>
        <w:rPr>
          <w:spacing w:val="2"/>
          <w:sz w:val="22"/>
          <w:szCs w:val="22"/>
        </w:rPr>
        <w:t xml:space="preserve"> </w:t>
      </w:r>
      <w:r>
        <w:rPr>
          <w:sz w:val="22"/>
          <w:szCs w:val="22"/>
        </w:rPr>
        <w:t>mające</w:t>
      </w:r>
      <w:r>
        <w:rPr>
          <w:spacing w:val="-1"/>
          <w:sz w:val="22"/>
          <w:szCs w:val="22"/>
        </w:rPr>
        <w:t xml:space="preserve"> </w:t>
      </w:r>
      <w:r>
        <w:rPr>
          <w:sz w:val="22"/>
          <w:szCs w:val="22"/>
        </w:rPr>
        <w:t>na celu zakłócenie konkurencji,</w:t>
      </w:r>
      <w:r>
        <w:rPr>
          <w:spacing w:val="68"/>
          <w:sz w:val="22"/>
          <w:szCs w:val="22"/>
        </w:rPr>
        <w:t xml:space="preserve"> </w:t>
      </w:r>
      <w:r>
        <w:rPr>
          <w:sz w:val="22"/>
          <w:szCs w:val="22"/>
        </w:rPr>
        <w:t>w</w:t>
      </w:r>
      <w:r>
        <w:rPr>
          <w:spacing w:val="65"/>
          <w:sz w:val="22"/>
          <w:szCs w:val="22"/>
        </w:rPr>
        <w:t xml:space="preserve"> </w:t>
      </w:r>
      <w:r>
        <w:rPr>
          <w:sz w:val="22"/>
          <w:szCs w:val="22"/>
        </w:rPr>
        <w:t>szczególności</w:t>
      </w:r>
      <w:r>
        <w:rPr>
          <w:spacing w:val="67"/>
          <w:sz w:val="22"/>
          <w:szCs w:val="22"/>
        </w:rPr>
        <w:t xml:space="preserve"> </w:t>
      </w:r>
      <w:r>
        <w:rPr>
          <w:sz w:val="22"/>
          <w:szCs w:val="22"/>
        </w:rPr>
        <w:t>jeżeli</w:t>
      </w:r>
      <w:r>
        <w:rPr>
          <w:spacing w:val="67"/>
          <w:sz w:val="22"/>
          <w:szCs w:val="22"/>
        </w:rPr>
        <w:t xml:space="preserve"> </w:t>
      </w:r>
      <w:r>
        <w:rPr>
          <w:sz w:val="22"/>
          <w:szCs w:val="22"/>
        </w:rPr>
        <w:t>należąc</w:t>
      </w:r>
      <w:r>
        <w:rPr>
          <w:spacing w:val="68"/>
          <w:sz w:val="22"/>
          <w:szCs w:val="22"/>
        </w:rPr>
        <w:t xml:space="preserve"> </w:t>
      </w:r>
      <w:r>
        <w:rPr>
          <w:sz w:val="22"/>
          <w:szCs w:val="22"/>
        </w:rPr>
        <w:t>do</w:t>
      </w:r>
      <w:r>
        <w:rPr>
          <w:spacing w:val="67"/>
          <w:sz w:val="22"/>
          <w:szCs w:val="22"/>
        </w:rPr>
        <w:t xml:space="preserve"> </w:t>
      </w:r>
      <w:r>
        <w:rPr>
          <w:sz w:val="22"/>
          <w:szCs w:val="22"/>
        </w:rPr>
        <w:t>tej</w:t>
      </w:r>
      <w:r>
        <w:rPr>
          <w:spacing w:val="67"/>
          <w:sz w:val="22"/>
          <w:szCs w:val="22"/>
        </w:rPr>
        <w:t xml:space="preserve"> </w:t>
      </w:r>
      <w:r>
        <w:rPr>
          <w:sz w:val="22"/>
          <w:szCs w:val="22"/>
        </w:rPr>
        <w:t>samej</w:t>
      </w:r>
      <w:r>
        <w:rPr>
          <w:spacing w:val="67"/>
          <w:sz w:val="22"/>
          <w:szCs w:val="22"/>
        </w:rPr>
        <w:t xml:space="preserve"> </w:t>
      </w:r>
      <w:r>
        <w:rPr>
          <w:sz w:val="22"/>
          <w:szCs w:val="22"/>
        </w:rPr>
        <w:t>grupy</w:t>
      </w:r>
      <w:r>
        <w:rPr>
          <w:spacing w:val="67"/>
          <w:sz w:val="22"/>
          <w:szCs w:val="22"/>
        </w:rPr>
        <w:t xml:space="preserve"> </w:t>
      </w:r>
      <w:r>
        <w:rPr>
          <w:sz w:val="22"/>
          <w:szCs w:val="22"/>
        </w:rPr>
        <w:t>kapitałowej</w:t>
      </w:r>
      <w:r>
        <w:rPr>
          <w:spacing w:val="67"/>
          <w:sz w:val="22"/>
          <w:szCs w:val="22"/>
        </w:rPr>
        <w:t xml:space="preserve"> </w:t>
      </w:r>
      <w:r>
        <w:rPr>
          <w:sz w:val="22"/>
          <w:szCs w:val="22"/>
        </w:rPr>
        <w:t>w rozumieniu</w:t>
      </w:r>
      <w:r>
        <w:rPr>
          <w:spacing w:val="9"/>
          <w:sz w:val="22"/>
          <w:szCs w:val="22"/>
        </w:rPr>
        <w:t xml:space="preserve"> </w:t>
      </w:r>
      <w:r>
        <w:rPr>
          <w:sz w:val="22"/>
          <w:szCs w:val="22"/>
        </w:rPr>
        <w:t>ustawy</w:t>
      </w:r>
      <w:r>
        <w:rPr>
          <w:spacing w:val="9"/>
          <w:sz w:val="22"/>
          <w:szCs w:val="22"/>
        </w:rPr>
        <w:t xml:space="preserve"> </w:t>
      </w:r>
      <w:r>
        <w:rPr>
          <w:sz w:val="22"/>
          <w:szCs w:val="22"/>
        </w:rPr>
        <w:t>z</w:t>
      </w:r>
      <w:r>
        <w:rPr>
          <w:spacing w:val="8"/>
          <w:sz w:val="22"/>
          <w:szCs w:val="22"/>
        </w:rPr>
        <w:t xml:space="preserve"> </w:t>
      </w:r>
      <w:r>
        <w:rPr>
          <w:sz w:val="22"/>
          <w:szCs w:val="22"/>
        </w:rPr>
        <w:t>dnia</w:t>
      </w:r>
      <w:r>
        <w:rPr>
          <w:spacing w:val="8"/>
          <w:sz w:val="22"/>
          <w:szCs w:val="22"/>
        </w:rPr>
        <w:t xml:space="preserve"> </w:t>
      </w:r>
      <w:r>
        <w:rPr>
          <w:sz w:val="22"/>
          <w:szCs w:val="22"/>
        </w:rPr>
        <w:t>16</w:t>
      </w:r>
      <w:r>
        <w:rPr>
          <w:spacing w:val="8"/>
          <w:sz w:val="22"/>
          <w:szCs w:val="22"/>
        </w:rPr>
        <w:t xml:space="preserve"> </w:t>
      </w:r>
      <w:r>
        <w:rPr>
          <w:sz w:val="22"/>
          <w:szCs w:val="22"/>
        </w:rPr>
        <w:t>lutego</w:t>
      </w:r>
      <w:r>
        <w:rPr>
          <w:spacing w:val="10"/>
          <w:sz w:val="22"/>
          <w:szCs w:val="22"/>
        </w:rPr>
        <w:t xml:space="preserve"> </w:t>
      </w:r>
      <w:r>
        <w:rPr>
          <w:sz w:val="22"/>
          <w:szCs w:val="22"/>
        </w:rPr>
        <w:t>2007</w:t>
      </w:r>
      <w:r>
        <w:rPr>
          <w:spacing w:val="8"/>
          <w:sz w:val="22"/>
          <w:szCs w:val="22"/>
        </w:rPr>
        <w:t xml:space="preserve"> </w:t>
      </w:r>
      <w:r>
        <w:rPr>
          <w:sz w:val="22"/>
          <w:szCs w:val="22"/>
        </w:rPr>
        <w:t>r.</w:t>
      </w:r>
      <w:r>
        <w:rPr>
          <w:spacing w:val="9"/>
          <w:sz w:val="22"/>
          <w:szCs w:val="22"/>
        </w:rPr>
        <w:t xml:space="preserve"> </w:t>
      </w:r>
      <w:r>
        <w:rPr>
          <w:sz w:val="22"/>
          <w:szCs w:val="22"/>
        </w:rPr>
        <w:t>o</w:t>
      </w:r>
      <w:r>
        <w:rPr>
          <w:spacing w:val="10"/>
          <w:sz w:val="22"/>
          <w:szCs w:val="22"/>
        </w:rPr>
        <w:t xml:space="preserve"> </w:t>
      </w:r>
      <w:r>
        <w:rPr>
          <w:sz w:val="22"/>
          <w:szCs w:val="22"/>
        </w:rPr>
        <w:t>ochronie</w:t>
      </w:r>
      <w:r>
        <w:rPr>
          <w:spacing w:val="11"/>
          <w:sz w:val="22"/>
          <w:szCs w:val="22"/>
        </w:rPr>
        <w:t xml:space="preserve"> </w:t>
      </w:r>
      <w:r>
        <w:rPr>
          <w:sz w:val="22"/>
          <w:szCs w:val="22"/>
        </w:rPr>
        <w:t>konkurencji</w:t>
      </w:r>
      <w:r>
        <w:rPr>
          <w:spacing w:val="12"/>
          <w:sz w:val="22"/>
          <w:szCs w:val="22"/>
        </w:rPr>
        <w:t xml:space="preserve"> </w:t>
      </w:r>
      <w:r>
        <w:rPr>
          <w:sz w:val="22"/>
          <w:szCs w:val="22"/>
        </w:rPr>
        <w:t>i</w:t>
      </w:r>
      <w:r>
        <w:rPr>
          <w:spacing w:val="10"/>
          <w:sz w:val="22"/>
          <w:szCs w:val="22"/>
        </w:rPr>
        <w:t xml:space="preserve"> </w:t>
      </w:r>
      <w:r>
        <w:rPr>
          <w:sz w:val="22"/>
          <w:szCs w:val="22"/>
        </w:rPr>
        <w:t>konsumentów,</w:t>
      </w:r>
      <w:r>
        <w:rPr>
          <w:spacing w:val="-1"/>
          <w:sz w:val="22"/>
          <w:szCs w:val="22"/>
        </w:rPr>
        <w:t xml:space="preserve"> </w:t>
      </w:r>
      <w:r>
        <w:rPr>
          <w:sz w:val="22"/>
          <w:szCs w:val="22"/>
        </w:rPr>
        <w:t>złożyli</w:t>
      </w:r>
      <w:r>
        <w:rPr>
          <w:spacing w:val="27"/>
          <w:sz w:val="22"/>
          <w:szCs w:val="22"/>
        </w:rPr>
        <w:t xml:space="preserve"> </w:t>
      </w:r>
      <w:r>
        <w:rPr>
          <w:sz w:val="22"/>
          <w:szCs w:val="22"/>
        </w:rPr>
        <w:t>odrębne</w:t>
      </w:r>
      <w:r>
        <w:rPr>
          <w:spacing w:val="27"/>
          <w:sz w:val="22"/>
          <w:szCs w:val="22"/>
        </w:rPr>
        <w:t xml:space="preserve"> </w:t>
      </w:r>
      <w:r>
        <w:rPr>
          <w:sz w:val="22"/>
          <w:szCs w:val="22"/>
        </w:rPr>
        <w:t>oferty,</w:t>
      </w:r>
      <w:r>
        <w:rPr>
          <w:spacing w:val="27"/>
          <w:sz w:val="22"/>
          <w:szCs w:val="22"/>
        </w:rPr>
        <w:t xml:space="preserve"> </w:t>
      </w:r>
      <w:r>
        <w:rPr>
          <w:sz w:val="22"/>
          <w:szCs w:val="22"/>
        </w:rPr>
        <w:t>oferty</w:t>
      </w:r>
      <w:r>
        <w:rPr>
          <w:spacing w:val="25"/>
          <w:sz w:val="22"/>
          <w:szCs w:val="22"/>
        </w:rPr>
        <w:t xml:space="preserve"> </w:t>
      </w:r>
      <w:r>
        <w:rPr>
          <w:sz w:val="22"/>
          <w:szCs w:val="22"/>
        </w:rPr>
        <w:t>częściowe</w:t>
      </w:r>
      <w:r>
        <w:rPr>
          <w:spacing w:val="28"/>
          <w:sz w:val="22"/>
          <w:szCs w:val="22"/>
        </w:rPr>
        <w:t xml:space="preserve"> </w:t>
      </w:r>
      <w:r>
        <w:rPr>
          <w:sz w:val="22"/>
          <w:szCs w:val="22"/>
        </w:rPr>
        <w:t>lub</w:t>
      </w:r>
      <w:r>
        <w:rPr>
          <w:spacing w:val="27"/>
          <w:sz w:val="22"/>
          <w:szCs w:val="22"/>
        </w:rPr>
        <w:t xml:space="preserve"> </w:t>
      </w:r>
      <w:r>
        <w:rPr>
          <w:sz w:val="22"/>
          <w:szCs w:val="22"/>
        </w:rPr>
        <w:t>wnioski</w:t>
      </w:r>
      <w:r>
        <w:rPr>
          <w:spacing w:val="28"/>
          <w:sz w:val="22"/>
          <w:szCs w:val="22"/>
        </w:rPr>
        <w:t xml:space="preserve"> </w:t>
      </w:r>
      <w:r>
        <w:rPr>
          <w:sz w:val="22"/>
          <w:szCs w:val="22"/>
        </w:rPr>
        <w:t>o</w:t>
      </w:r>
      <w:r>
        <w:rPr>
          <w:spacing w:val="26"/>
          <w:sz w:val="22"/>
          <w:szCs w:val="22"/>
        </w:rPr>
        <w:t xml:space="preserve"> </w:t>
      </w:r>
      <w:r>
        <w:rPr>
          <w:sz w:val="22"/>
          <w:szCs w:val="22"/>
        </w:rPr>
        <w:t>dopuszczenie</w:t>
      </w:r>
      <w:r>
        <w:rPr>
          <w:spacing w:val="29"/>
          <w:sz w:val="22"/>
          <w:szCs w:val="22"/>
        </w:rPr>
        <w:t xml:space="preserve"> </w:t>
      </w:r>
      <w:r>
        <w:rPr>
          <w:sz w:val="22"/>
          <w:szCs w:val="22"/>
        </w:rPr>
        <w:t>do</w:t>
      </w:r>
      <w:r>
        <w:rPr>
          <w:spacing w:val="26"/>
          <w:sz w:val="22"/>
          <w:szCs w:val="22"/>
        </w:rPr>
        <w:t xml:space="preserve"> </w:t>
      </w:r>
      <w:r>
        <w:rPr>
          <w:sz w:val="22"/>
          <w:szCs w:val="22"/>
        </w:rPr>
        <w:t>udziału</w:t>
      </w:r>
      <w:r>
        <w:rPr>
          <w:spacing w:val="28"/>
          <w:sz w:val="22"/>
          <w:szCs w:val="22"/>
        </w:rPr>
        <w:t xml:space="preserve"> </w:t>
      </w:r>
      <w:r>
        <w:rPr>
          <w:sz w:val="22"/>
          <w:szCs w:val="22"/>
        </w:rPr>
        <w:t>w postępowaniu,</w:t>
      </w:r>
      <w:r>
        <w:rPr>
          <w:spacing w:val="18"/>
          <w:sz w:val="22"/>
          <w:szCs w:val="22"/>
        </w:rPr>
        <w:t xml:space="preserve"> </w:t>
      </w:r>
      <w:r>
        <w:rPr>
          <w:sz w:val="22"/>
          <w:szCs w:val="22"/>
        </w:rPr>
        <w:t>chyba</w:t>
      </w:r>
      <w:r>
        <w:rPr>
          <w:spacing w:val="16"/>
          <w:sz w:val="22"/>
          <w:szCs w:val="22"/>
        </w:rPr>
        <w:t xml:space="preserve"> </w:t>
      </w:r>
      <w:r>
        <w:rPr>
          <w:sz w:val="22"/>
          <w:szCs w:val="22"/>
        </w:rPr>
        <w:t>że</w:t>
      </w:r>
      <w:r>
        <w:rPr>
          <w:spacing w:val="16"/>
          <w:sz w:val="22"/>
          <w:szCs w:val="22"/>
        </w:rPr>
        <w:t xml:space="preserve"> </w:t>
      </w:r>
      <w:r>
        <w:rPr>
          <w:sz w:val="22"/>
          <w:szCs w:val="22"/>
        </w:rPr>
        <w:t>wykażą̨,</w:t>
      </w:r>
      <w:r>
        <w:rPr>
          <w:spacing w:val="17"/>
          <w:sz w:val="22"/>
          <w:szCs w:val="22"/>
        </w:rPr>
        <w:t xml:space="preserve"> </w:t>
      </w:r>
      <w:r>
        <w:rPr>
          <w:sz w:val="22"/>
          <w:szCs w:val="22"/>
        </w:rPr>
        <w:t>że</w:t>
      </w:r>
      <w:r>
        <w:rPr>
          <w:spacing w:val="17"/>
          <w:sz w:val="22"/>
          <w:szCs w:val="22"/>
        </w:rPr>
        <w:t xml:space="preserve"> </w:t>
      </w:r>
      <w:r>
        <w:rPr>
          <w:sz w:val="22"/>
          <w:szCs w:val="22"/>
        </w:rPr>
        <w:t>przygotowali</w:t>
      </w:r>
      <w:r>
        <w:rPr>
          <w:spacing w:val="17"/>
          <w:sz w:val="22"/>
          <w:szCs w:val="22"/>
        </w:rPr>
        <w:t xml:space="preserve"> </w:t>
      </w:r>
      <w:r>
        <w:rPr>
          <w:sz w:val="22"/>
          <w:szCs w:val="22"/>
        </w:rPr>
        <w:t>te</w:t>
      </w:r>
      <w:r>
        <w:rPr>
          <w:spacing w:val="17"/>
          <w:sz w:val="22"/>
          <w:szCs w:val="22"/>
        </w:rPr>
        <w:t xml:space="preserve"> </w:t>
      </w:r>
      <w:r>
        <w:rPr>
          <w:sz w:val="22"/>
          <w:szCs w:val="22"/>
        </w:rPr>
        <w:t>oferty</w:t>
      </w:r>
      <w:r>
        <w:rPr>
          <w:spacing w:val="16"/>
          <w:sz w:val="22"/>
          <w:szCs w:val="22"/>
        </w:rPr>
        <w:t xml:space="preserve"> </w:t>
      </w:r>
      <w:r>
        <w:rPr>
          <w:sz w:val="22"/>
          <w:szCs w:val="22"/>
        </w:rPr>
        <w:t>lub</w:t>
      </w:r>
      <w:r>
        <w:rPr>
          <w:spacing w:val="18"/>
          <w:sz w:val="22"/>
          <w:szCs w:val="22"/>
        </w:rPr>
        <w:t xml:space="preserve"> </w:t>
      </w:r>
      <w:r>
        <w:rPr>
          <w:sz w:val="22"/>
          <w:szCs w:val="22"/>
        </w:rPr>
        <w:t>wnioski</w:t>
      </w:r>
      <w:r>
        <w:rPr>
          <w:spacing w:val="15"/>
          <w:sz w:val="22"/>
          <w:szCs w:val="22"/>
        </w:rPr>
        <w:t xml:space="preserve"> </w:t>
      </w:r>
      <w:r>
        <w:rPr>
          <w:sz w:val="22"/>
          <w:szCs w:val="22"/>
        </w:rPr>
        <w:t>niezależnie od siebie;</w:t>
      </w:r>
    </w:p>
    <w:p>
      <w:pPr>
        <w:pStyle w:val="ListParagraph"/>
        <w:numPr>
          <w:ilvl w:val="1"/>
          <w:numId w:val="40"/>
        </w:numPr>
        <w:tabs>
          <w:tab w:val="clear" w:pos="708"/>
          <w:tab w:val="left" w:pos="611" w:leader="none"/>
        </w:tabs>
        <w:suppressAutoHyphens w:val="false"/>
        <w:ind w:left="426" w:right="110" w:hanging="426"/>
        <w:jc w:val="both"/>
        <w:rPr>
          <w:sz w:val="22"/>
          <w:szCs w:val="22"/>
        </w:rPr>
      </w:pPr>
      <w:r>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spacing w:val="22"/>
          <w:sz w:val="22"/>
          <w:szCs w:val="22"/>
        </w:rPr>
        <w:t xml:space="preserve"> </w:t>
      </w:r>
      <w:r>
        <w:rPr>
          <w:sz w:val="22"/>
          <w:szCs w:val="22"/>
        </w:rPr>
        <w:t>zamówienia.</w:t>
      </w:r>
    </w:p>
    <w:p>
      <w:pPr>
        <w:pStyle w:val="ListParagraph"/>
        <w:numPr>
          <w:ilvl w:val="0"/>
          <w:numId w:val="38"/>
        </w:numPr>
        <w:tabs>
          <w:tab w:val="clear" w:pos="708"/>
          <w:tab w:val="left" w:pos="426" w:leader="none"/>
        </w:tabs>
        <w:suppressAutoHyphens w:val="false"/>
        <w:ind w:left="284" w:right="112" w:hanging="284"/>
        <w:jc w:val="both"/>
        <w:rPr>
          <w:strike/>
          <w:sz w:val="22"/>
          <w:szCs w:val="22"/>
        </w:rPr>
      </w:pPr>
      <w:r>
        <w:rPr>
          <w:sz w:val="22"/>
          <w:szCs w:val="22"/>
        </w:rPr>
        <w:t xml:space="preserve">Wykonawca może zostać́ wykluczony przez zamawiającego na każdym etapie postępowania o </w:t>
      </w:r>
      <w:r>
        <w:rPr>
          <w:spacing w:val="-2"/>
          <w:sz w:val="22"/>
          <w:szCs w:val="22"/>
        </w:rPr>
        <w:t>u</w:t>
      </w:r>
      <w:r>
        <w:rPr>
          <w:sz w:val="22"/>
          <w:szCs w:val="22"/>
        </w:rPr>
        <w:t>d</w:t>
      </w:r>
      <w:r>
        <w:rPr>
          <w:spacing w:val="-2"/>
          <w:sz w:val="22"/>
          <w:szCs w:val="22"/>
        </w:rPr>
        <w:t>z</w:t>
      </w:r>
      <w:r>
        <w:rPr>
          <w:sz w:val="22"/>
          <w:szCs w:val="22"/>
        </w:rPr>
        <w:t>i</w:t>
      </w:r>
      <w:r>
        <w:rPr>
          <w:spacing w:val="-2"/>
          <w:sz w:val="22"/>
          <w:szCs w:val="22"/>
        </w:rPr>
        <w:t>el</w:t>
      </w:r>
      <w:r>
        <w:rPr>
          <w:sz w:val="22"/>
          <w:szCs w:val="22"/>
        </w:rPr>
        <w:t>en</w:t>
      </w:r>
      <w:r>
        <w:rPr>
          <w:spacing w:val="-2"/>
          <w:sz w:val="22"/>
          <w:szCs w:val="22"/>
        </w:rPr>
        <w:t>i</w:t>
      </w:r>
      <w:r>
        <w:rPr>
          <w:sz w:val="22"/>
          <w:szCs w:val="22"/>
        </w:rPr>
        <w:t>e</w:t>
      </w:r>
      <w:r>
        <w:rPr>
          <w:spacing w:val="1"/>
          <w:sz w:val="22"/>
          <w:szCs w:val="22"/>
        </w:rPr>
        <w:t xml:space="preserve"> </w:t>
      </w:r>
      <w:r>
        <w:rPr>
          <w:spacing w:val="-2"/>
          <w:sz w:val="22"/>
          <w:szCs w:val="22"/>
        </w:rPr>
        <w:t>z</w:t>
      </w:r>
      <w:r>
        <w:rPr>
          <w:sz w:val="22"/>
          <w:szCs w:val="22"/>
        </w:rPr>
        <w:t>amó</w:t>
      </w:r>
      <w:r>
        <w:rPr>
          <w:spacing w:val="-1"/>
          <w:sz w:val="22"/>
          <w:szCs w:val="22"/>
        </w:rPr>
        <w:t>w</w:t>
      </w:r>
      <w:r>
        <w:rPr>
          <w:sz w:val="22"/>
          <w:szCs w:val="22"/>
        </w:rPr>
        <w:t>ien</w:t>
      </w:r>
      <w:r>
        <w:rPr>
          <w:spacing w:val="-2"/>
          <w:sz w:val="22"/>
          <w:szCs w:val="22"/>
        </w:rPr>
        <w:t>i</w:t>
      </w:r>
      <w:r>
        <w:rPr>
          <w:sz w:val="22"/>
          <w:szCs w:val="22"/>
        </w:rPr>
        <w:t>a.</w:t>
      </w:r>
    </w:p>
    <w:p>
      <w:pPr>
        <w:pStyle w:val="Tretekstu"/>
        <w:numPr>
          <w:ilvl w:val="0"/>
          <w:numId w:val="38"/>
        </w:numPr>
        <w:suppressAutoHyphens w:val="false"/>
        <w:spacing w:before="0" w:after="0"/>
        <w:ind w:left="284" w:right="57" w:hanging="284"/>
        <w:jc w:val="both"/>
        <w:rPr>
          <w:sz w:val="22"/>
          <w:szCs w:val="22"/>
        </w:rPr>
      </w:pPr>
      <w:r>
        <w:rPr>
          <w:sz w:val="22"/>
          <w:szCs w:val="22"/>
        </w:rPr>
        <w:t>Zamawiający nie przewiduje wykluczenia wykonawcy na podstawie art. 109 ust. 1 Pzp.</w:t>
      </w:r>
    </w:p>
    <w:p>
      <w:pPr>
        <w:pStyle w:val="Tretekstu"/>
        <w:spacing w:before="0" w:after="0"/>
        <w:ind w:right="57" w:hanging="0"/>
        <w:jc w:val="both"/>
        <w:rPr>
          <w:color w:val="000000" w:themeColor="text1"/>
          <w:sz w:val="22"/>
          <w:szCs w:val="22"/>
        </w:rPr>
      </w:pPr>
      <w:r>
        <w:rPr>
          <w:color w:val="00B050"/>
          <w:sz w:val="22"/>
          <w:szCs w:val="22"/>
        </w:rPr>
        <w:t xml:space="preserve">4) </w:t>
      </w:r>
      <w:r>
        <w:rPr>
          <w:color w:val="000000" w:themeColor="text1"/>
          <w:sz w:val="22"/>
          <w:szCs w:val="22"/>
        </w:rPr>
        <w:t xml:space="preserve">Zamawiający wykluczy z postępowania: </w:t>
      </w:r>
    </w:p>
    <w:p>
      <w:pPr>
        <w:pStyle w:val="Tretekstu"/>
        <w:spacing w:before="0" w:after="0"/>
        <w:ind w:left="567" w:right="57" w:hanging="283"/>
        <w:jc w:val="both"/>
        <w:rPr>
          <w:color w:val="000000" w:themeColor="text1"/>
          <w:sz w:val="22"/>
          <w:szCs w:val="22"/>
        </w:rPr>
      </w:pPr>
      <w:r>
        <w:rPr>
          <w:color w:val="000000" w:themeColor="text1"/>
          <w:sz w:val="22"/>
          <w:szCs w:val="22"/>
        </w:rPr>
        <w:t>a)</w:t>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color w:val="000000" w:themeColor="text1"/>
          <w:sz w:val="22"/>
          <w:szCs w:val="22"/>
        </w:rPr>
      </w:pPr>
      <w:r>
        <w:rPr>
          <w:color w:val="000000" w:themeColor="text1"/>
          <w:sz w:val="22"/>
          <w:szCs w:val="22"/>
        </w:rPr>
        <w:t>b)</w:t>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color w:val="000000" w:themeColor="text1"/>
          <w:sz w:val="22"/>
          <w:szCs w:val="22"/>
        </w:rPr>
      </w:pPr>
      <w:r>
        <w:rPr>
          <w:color w:val="000000" w:themeColor="text1"/>
          <w:sz w:val="22"/>
          <w:szCs w:val="22"/>
        </w:rPr>
        <w:t>c)</w:t>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pPr>
        <w:pStyle w:val="Tretekstu"/>
        <w:spacing w:before="0" w:after="0"/>
        <w:ind w:left="284" w:right="57" w:hanging="426"/>
        <w:jc w:val="both"/>
        <w:rPr>
          <w:color w:val="000000" w:themeColor="text1"/>
          <w:sz w:val="22"/>
          <w:szCs w:val="22"/>
        </w:rPr>
      </w:pPr>
      <w:r>
        <w:rPr>
          <w:color w:val="000000" w:themeColor="text1"/>
          <w:sz w:val="22"/>
          <w:szCs w:val="22"/>
        </w:rPr>
        <w:t xml:space="preserve"> </w:t>
      </w:r>
      <w:r>
        <w:rPr>
          <w:color w:val="000000" w:themeColor="text1"/>
          <w:sz w:val="22"/>
          <w:szCs w:val="22"/>
        </w:rPr>
        <w:t>5) Wykluczenie o którym mowa w pkt 4 następuje na okres trwania okoliczności określonych w pkt.4).</w:t>
      </w:r>
    </w:p>
    <w:p>
      <w:pPr>
        <w:pStyle w:val="Normal"/>
        <w:shd w:val="clear" w:color="auto" w:fill="FFFFFF"/>
        <w:spacing w:lineRule="auto" w:line="240" w:before="0" w:after="0"/>
        <w:rPr>
          <w:rFonts w:ascii="Times New Roman" w:hAnsi="Times New Roman" w:eastAsia="Calibri Light" w:cs="Times New Roman"/>
          <w:b/>
          <w:b/>
          <w:i/>
          <w:i/>
        </w:rPr>
      </w:pPr>
      <w:r>
        <w:rPr>
          <w:rFonts w:eastAsia="Calibri Light" w:cs="Times New Roman" w:ascii="Times New Roman" w:hAnsi="Times New Roman"/>
          <w:b/>
          <w:i/>
        </w:rPr>
      </w:r>
    </w:p>
    <w:p>
      <w:pPr>
        <w:pStyle w:val="Normal"/>
        <w:numPr>
          <w:ilvl w:val="0"/>
          <w:numId w:val="12"/>
        </w:numPr>
        <w:shd w:val="clear" w:color="auto" w:fill="FFF2CC" w:themeFill="accent4"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podmiotowych i przedmiotowych środków dowodowych</w:t>
      </w:r>
    </w:p>
    <w:p>
      <w:pPr>
        <w:pStyle w:val="Normal"/>
        <w:spacing w:lineRule="auto" w:line="240" w:before="0" w:after="0"/>
        <w:ind w:left="360"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numPr>
          <w:ilvl w:val="1"/>
          <w:numId w:val="12"/>
        </w:numPr>
        <w:shd w:val="clear" w:color="auto" w:fill="DEEAF6" w:themeFill="accent5"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DOKUMENTY SKŁADANE RAZEM Z OFERTĄ</w:t>
      </w:r>
    </w:p>
    <w:p>
      <w:pPr>
        <w:pStyle w:val="Normal"/>
        <w:spacing w:lineRule="auto" w:line="240" w:before="0" w:after="6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7"/>
        </w:numPr>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Oferta składana jest pod rygorem nieważności </w:t>
      </w:r>
      <w:r>
        <w:rPr>
          <w:rFonts w:eastAsia="Times New Roman" w:cs="Times New Roman" w:ascii="Times New Roman" w:hAnsi="Times New Roman"/>
          <w:b/>
          <w:lang w:eastAsia="pl-PL"/>
        </w:rPr>
        <w:t>w formie elektronicznej lub w postaci elektronicznej opatrzonej podpisem zaufanym lub podpisem osobistym.</w:t>
      </w:r>
    </w:p>
    <w:p>
      <w:pPr>
        <w:pStyle w:val="Normal"/>
        <w:numPr>
          <w:ilvl w:val="0"/>
          <w:numId w:val="15"/>
        </w:numPr>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Wykonawca dołącza do oferty oświadczenie </w:t>
      </w:r>
      <w:r>
        <w:rPr>
          <w:rFonts w:eastAsia="Times New Roman" w:cs="Times New Roman" w:ascii="Times New Roman" w:hAnsi="Times New Roman"/>
          <w:b/>
          <w:bCs/>
          <w:lang w:eastAsia="pl-PL"/>
        </w:rPr>
        <w:t>o niepodleganiu wykluczeniu</w:t>
      </w:r>
      <w:r>
        <w:rPr>
          <w:rFonts w:eastAsia="Times New Roman" w:cs="Times New Roman" w:ascii="Times New Roman" w:hAnsi="Times New Roman"/>
          <w:lang w:eastAsia="pl-PL"/>
        </w:rPr>
        <w:t xml:space="preserve"> w postępowaniu w zakresie wskazanym w rozdziale II ust. 8 SWZ. Oświadczenie to stanowi dowód potwierdzający brak podstaw wykluczenia, na dzień składania ofert.</w:t>
      </w:r>
    </w:p>
    <w:p>
      <w:pPr>
        <w:pStyle w:val="Normal"/>
        <w:numPr>
          <w:ilvl w:val="0"/>
          <w:numId w:val="15"/>
        </w:numPr>
        <w:spacing w:lineRule="auto" w:line="240" w:before="0" w:after="12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dołącza do oferty oświadczenie o </w:t>
      </w:r>
      <w:r>
        <w:rPr>
          <w:rFonts w:eastAsia="Times New Roman" w:cs="Times New Roman" w:ascii="Times New Roman" w:hAnsi="Times New Roman"/>
          <w:b/>
          <w:bCs/>
          <w:lang w:eastAsia="pl-PL"/>
        </w:rPr>
        <w:t>spełnianiu warunków udziału w postępowaniu</w:t>
      </w:r>
      <w:r>
        <w:rPr>
          <w:rFonts w:eastAsia="Times New Roman" w:cs="Times New Roman" w:ascii="Times New Roman" w:hAnsi="Times New Roman"/>
          <w:lang w:eastAsia="pl-PL"/>
        </w:rPr>
        <w:t xml:space="preserve"> w zakresie wskazanym w rozdziale II ust. 7 SWZ (załącznik nr 2a do SWZ).  Oświadczenie to stanowi dowód potwierdzający spełnianie warunków udziału w postępowaniu, na dzień składania ofert.</w:t>
      </w:r>
    </w:p>
    <w:p>
      <w:pPr>
        <w:pStyle w:val="Normal"/>
        <w:numPr>
          <w:ilvl w:val="0"/>
          <w:numId w:val="15"/>
        </w:numPr>
        <w:spacing w:lineRule="auto" w:line="240" w:before="0" w:after="12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Oświadczenia składane są pod rygorem nieważności w formie elektronicznej lub w postaci elektronicznej opatrzonej podpisem zaufanym, lub podpisem osobistym.</w:t>
      </w:r>
    </w:p>
    <w:p>
      <w:pPr>
        <w:pStyle w:val="Normal"/>
        <w:numPr>
          <w:ilvl w:val="0"/>
          <w:numId w:val="15"/>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Oświadczenia składają </w:t>
      </w:r>
      <w:r>
        <w:rPr>
          <w:rFonts w:eastAsia="Times New Roman" w:cs="Times New Roman" w:ascii="Times New Roman" w:hAnsi="Times New Roman"/>
          <w:b/>
          <w:lang w:eastAsia="pl-PL"/>
        </w:rPr>
        <w:t>odrębnie</w:t>
      </w:r>
      <w:r>
        <w:rPr>
          <w:rFonts w:eastAsia="Times New Roman" w:cs="Times New Roman" w:ascii="Times New Roman" w:hAnsi="Times New Roman"/>
          <w:lang w:eastAsia="pl-PL"/>
        </w:rPr>
        <w:t>:</w:t>
      </w:r>
    </w:p>
    <w:p>
      <w:pPr>
        <w:pStyle w:val="Normal"/>
        <w:numPr>
          <w:ilvl w:val="0"/>
          <w:numId w:val="16"/>
        </w:numPr>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wykonawca/każdy spośród wykonawców wspólnie ubiegających się o udzielenie zamówienia. W takim przypadku oświadczenia potwierdzają brak podstaw wykluczenia wykonawcy oraz spełnianie warunków udziału w postępowaniu w zakresie, w jakim każdy z wykonawców wykazuje spełnianie warunków udziału w postępowaniu;</w:t>
      </w:r>
    </w:p>
    <w:p>
      <w:pPr>
        <w:pStyle w:val="Normal"/>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15"/>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Samooczyszczenie </w:t>
      </w:r>
      <w:r>
        <w:rPr>
          <w:rFonts w:eastAsia="Times New Roman" w:cs="Times New Roman" w:ascii="Times New Roman" w:hAnsi="Times New Roman"/>
          <w:lang w:eastAsia="pl-PL"/>
        </w:rPr>
        <w:t xml:space="preserve">– w okolicznościach określonych w art. 108 ust. 1 pkt 1, 2 i 5 ustawy Pzp, wykonawca nie podlega wykluczeniu jeżeli udowodni zamawiającemu, że spełnił </w:t>
      </w:r>
      <w:r>
        <w:rPr>
          <w:rFonts w:eastAsia="Times New Roman" w:cs="Times New Roman" w:ascii="Times New Roman" w:hAnsi="Times New Roman"/>
          <w:b/>
          <w:lang w:eastAsia="pl-PL"/>
        </w:rPr>
        <w:t>łącznie</w:t>
      </w:r>
      <w:r>
        <w:rPr>
          <w:rFonts w:eastAsia="Times New Roman" w:cs="Times New Roman" w:ascii="Times New Roman" w:hAnsi="Times New Roman"/>
          <w:lang w:eastAsia="pl-PL"/>
        </w:rPr>
        <w:t xml:space="preserve"> następujące przesłanki:</w:t>
      </w:r>
    </w:p>
    <w:p>
      <w:pPr>
        <w:pStyle w:val="Normal"/>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a) </w:t>
        <w:tab/>
        <w:t>naprawił lub zobowiązał się do naprawienia szkody wyrządzonej przestępstwem, wykroczeniem lub swoim nieprawidłowym postępowaniem, w tym poprzez zadośćuczynienie pieniężne;</w:t>
      </w:r>
    </w:p>
    <w:p>
      <w:pPr>
        <w:pStyle w:val="Normal"/>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c) </w:t>
        <w:tab/>
        <w:t>podjął konkretne środki techniczne, organizacyjne i kadrowe, odpowiednie dla zapobiegania dalszym przestępstwom, wykroczeniom lub nieprawidłowemu postępowaniu, w szczególności:</w:t>
      </w:r>
    </w:p>
    <w:p>
      <w:pPr>
        <w:pStyle w:val="Normal"/>
        <w:numPr>
          <w:ilvl w:val="2"/>
          <w:numId w:val="17"/>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zerwał wszelkie powiązania z osobami lub podmiotami odpowiedzialnymi za nieprawidłowe postępowanie wykonawcy,</w:t>
      </w:r>
    </w:p>
    <w:p>
      <w:pPr>
        <w:pStyle w:val="Normal"/>
        <w:numPr>
          <w:ilvl w:val="2"/>
          <w:numId w:val="17"/>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zreorganizował personel,</w:t>
      </w:r>
    </w:p>
    <w:p>
      <w:pPr>
        <w:pStyle w:val="Normal"/>
        <w:numPr>
          <w:ilvl w:val="2"/>
          <w:numId w:val="17"/>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wdrożył system sprawozdawczości i kontroli,</w:t>
      </w:r>
    </w:p>
    <w:p>
      <w:pPr>
        <w:pStyle w:val="Normal"/>
        <w:numPr>
          <w:ilvl w:val="2"/>
          <w:numId w:val="17"/>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utworzył struktury audytu wewnętrznego do monitorowania przestrzegania przepisów, wewnętrznych regulacji lub standardów,</w:t>
      </w:r>
    </w:p>
    <w:p>
      <w:pPr>
        <w:pStyle w:val="Normal"/>
        <w:numPr>
          <w:ilvl w:val="2"/>
          <w:numId w:val="17"/>
        </w:numPr>
        <w:spacing w:lineRule="auto" w:line="240" w:before="0" w:after="40"/>
        <w:ind w:left="993" w:right="23"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wprowadził wewnętrzne regulacje dotyczące odpowiedzialności i odszkodowań za nieprzestrzeganie przepisów, wewnętrznych regulacji lub standardów.</w:t>
      </w:r>
    </w:p>
    <w:p>
      <w:pPr>
        <w:pStyle w:val="Normal"/>
        <w:spacing w:lineRule="auto" w:line="240" w:before="0" w:after="120"/>
        <w:ind w:left="357" w:right="23"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15"/>
        </w:numPr>
        <w:spacing w:lineRule="auto" w:line="240" w:before="0" w:after="12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Do oferty wykonawca załącza również:</w:t>
      </w:r>
    </w:p>
    <w:p>
      <w:pPr>
        <w:pStyle w:val="Normal"/>
        <w:numPr>
          <w:ilvl w:val="0"/>
          <w:numId w:val="78"/>
        </w:numPr>
        <w:spacing w:lineRule="auto" w:line="240" w:before="0" w:after="6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Pełnomocnictwo  </w:t>
      </w:r>
    </w:p>
    <w:p>
      <w:pPr>
        <w:pStyle w:val="Normal"/>
        <w:numPr>
          <w:ilvl w:val="0"/>
          <w:numId w:val="19"/>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Normal"/>
        <w:numPr>
          <w:ilvl w:val="0"/>
          <w:numId w:val="19"/>
        </w:numPr>
        <w:spacing w:lineRule="auto" w:line="240" w:before="0" w:after="60"/>
        <w:ind w:left="993" w:right="23"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pacing w:lineRule="auto" w:line="240" w:before="0" w:after="0"/>
        <w:ind w:left="709" w:hanging="0"/>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Pełnomocnictwo powinno być załączone do oferty i powinno zawierać w szczególności wskazanie:</w:t>
      </w:r>
    </w:p>
    <w:p>
      <w:pPr>
        <w:pStyle w:val="Normal"/>
        <w:numPr>
          <w:ilvl w:val="0"/>
          <w:numId w:val="20"/>
        </w:numPr>
        <w:spacing w:lineRule="auto" w:line="240" w:before="0" w:after="0"/>
        <w:ind w:left="851" w:hanging="142"/>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postępowania o zamówienie publiczne, którego dotyczy,</w:t>
      </w:r>
    </w:p>
    <w:p>
      <w:pPr>
        <w:pStyle w:val="Normal"/>
        <w:numPr>
          <w:ilvl w:val="0"/>
          <w:numId w:val="20"/>
        </w:numPr>
        <w:spacing w:lineRule="auto" w:line="240" w:before="0" w:after="0"/>
        <w:ind w:left="851" w:hanging="142"/>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wszystkich wykonawców ubiegających się wspólnie o udzielenie zamówienia wymienionych z nazwy z określeniem adresu siedziby,</w:t>
      </w:r>
    </w:p>
    <w:p>
      <w:pPr>
        <w:pStyle w:val="Normal"/>
        <w:numPr>
          <w:ilvl w:val="0"/>
          <w:numId w:val="20"/>
        </w:numPr>
        <w:spacing w:lineRule="auto" w:line="240" w:before="0" w:after="60"/>
        <w:ind w:left="851" w:hanging="142"/>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ustanowionego pełnomocnika oraz zakresu jego umocowania.</w:t>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Wymagana forma:</w:t>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Pełnomocnictwo powinno zostać złożone w formie elektronicznej lub w postaci elektronicznej opatrzonej podpisem zaufanym, lub podpisem osobistym. </w:t>
      </w:r>
    </w:p>
    <w:p>
      <w:pPr>
        <w:pStyle w:val="Normal"/>
        <w:spacing w:lineRule="auto" w:line="240" w:before="0" w:after="120"/>
        <w:ind w:left="709" w:right="23"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Dopuszcza się również przedłożenie elektronicznej kopii dokumentu poświadczonej za zgodność z oryginałem przez notariusza, tj. podpisanej kwalifikowanym podpisem elektronicznym osoby posiadającej uprawnienia notariusza.</w:t>
      </w:r>
    </w:p>
    <w:p>
      <w:pPr>
        <w:pStyle w:val="Normal"/>
        <w:spacing w:lineRule="auto" w:line="240" w:before="0" w:after="0"/>
        <w:ind w:left="709" w:hanging="283"/>
        <w:jc w:val="both"/>
        <w:rPr>
          <w:rFonts w:ascii="Times New Roman" w:hAnsi="Times New Roman" w:eastAsia="Times New Roman" w:cs="Times New Roman"/>
          <w:b/>
          <w:b/>
          <w:sz w:val="6"/>
          <w:szCs w:val="6"/>
          <w:highlight w:val="yellow"/>
          <w:lang w:eastAsia="pl-PL"/>
        </w:rPr>
      </w:pPr>
      <w:r>
        <w:rPr>
          <w:rFonts w:eastAsia="Times New Roman" w:cs="Times New Roman" w:ascii="Times New Roman" w:hAnsi="Times New Roman"/>
          <w:b/>
          <w:sz w:val="6"/>
          <w:szCs w:val="6"/>
          <w:highlight w:val="yellow"/>
          <w:lang w:eastAsia="pl-PL"/>
        </w:rPr>
      </w:r>
    </w:p>
    <w:p>
      <w:pPr>
        <w:pStyle w:val="Normal"/>
        <w:numPr>
          <w:ilvl w:val="0"/>
          <w:numId w:val="18"/>
        </w:numPr>
        <w:spacing w:lineRule="auto" w:line="240" w:before="0" w:after="60"/>
        <w:ind w:left="709" w:right="-108"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Oświadczenie wykonawców wspólnie ubiegających się o udzielenie zamówienia</w:t>
      </w:r>
    </w:p>
    <w:p>
      <w:pPr>
        <w:pStyle w:val="Normal"/>
        <w:numPr>
          <w:ilvl w:val="0"/>
          <w:numId w:val="79"/>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Normal"/>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Wymagana forma:</w:t>
      </w:r>
    </w:p>
    <w:p>
      <w:pPr>
        <w:pStyle w:val="Normal"/>
        <w:spacing w:lineRule="auto" w:line="240" w:before="0" w:after="120"/>
        <w:ind w:left="709" w:right="23"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numPr>
          <w:ilvl w:val="0"/>
          <w:numId w:val="18"/>
        </w:numPr>
        <w:spacing w:lineRule="auto" w:line="240" w:before="0" w:after="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Zastrzeżenie tajemnicy przedsiębiorstwa </w:t>
      </w:r>
      <w:r>
        <w:rPr>
          <w:rFonts w:eastAsia="Times New Roman" w:cs="Times New Roman" w:ascii="Times New Roman" w:hAnsi="Times New Roman"/>
          <w:lang w:eastAsia="pl-PL"/>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Normal"/>
        <w:spacing w:lineRule="auto" w:line="240" w:before="0" w:after="0"/>
        <w:ind w:left="709" w:right="20" w:hanging="283"/>
        <w:jc w:val="both"/>
        <w:rPr>
          <w:rFonts w:ascii="Times New Roman" w:hAnsi="Times New Roman" w:eastAsia="Times New Roman" w:cs="Times New Roman"/>
          <w:b/>
          <w:b/>
          <w:sz w:val="6"/>
          <w:szCs w:val="6"/>
          <w:lang w:eastAsia="pl-PL"/>
        </w:rPr>
      </w:pPr>
      <w:r>
        <w:rPr>
          <w:rFonts w:eastAsia="Times New Roman" w:cs="Times New Roman" w:ascii="Times New Roman" w:hAnsi="Times New Roman"/>
          <w:b/>
          <w:sz w:val="6"/>
          <w:szCs w:val="6"/>
          <w:lang w:eastAsia="pl-PL"/>
        </w:rPr>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Wymagana forma:</w:t>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ind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3"/>
        </w:numPr>
        <w:shd w:val="clear" w:color="auto" w:fill="DEEAF6" w:themeFill="accent5" w:themeFillTint="33"/>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DOKUMENTY SKŁADANE NA WEZWANIE </w:t>
      </w:r>
    </w:p>
    <w:p>
      <w:pPr>
        <w:pStyle w:val="Normal"/>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żąda dodatkowych dokumentów oprócz wymaganych do złożenia wraz z ofertą, wskazanych w rozdziale II ust. 9 pkt 1 SWZ.</w:t>
      </w:r>
    </w:p>
    <w:p>
      <w:pPr>
        <w:pStyle w:val="Normal"/>
        <w:numPr>
          <w:ilvl w:val="0"/>
          <w:numId w:val="12"/>
        </w:numPr>
        <w:shd w:val="clear" w:color="auto" w:fill="FFF2CC" w:themeFill="accent4"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dotyczące wadium</w:t>
      </w:r>
    </w:p>
    <w:p>
      <w:pPr>
        <w:pStyle w:val="Normal"/>
        <w:spacing w:lineRule="auto" w:line="240" w:before="0" w:after="0"/>
        <w:ind w:left="360" w:hanging="0"/>
        <w:jc w:val="both"/>
        <w:rPr>
          <w:rFonts w:ascii="Times New Roman" w:hAnsi="Times New Roman" w:eastAsia="Times New Roman" w:cs="Times New Roman"/>
          <w:bCs/>
          <w:sz w:val="12"/>
          <w:szCs w:val="12"/>
          <w:lang w:eastAsia="pl-PL"/>
        </w:rPr>
      </w:pPr>
      <w:r>
        <w:rPr>
          <w:rFonts w:eastAsia="Times New Roman" w:cs="Times New Roman" w:ascii="Times New Roman" w:hAnsi="Times New Roman"/>
          <w:bCs/>
          <w:sz w:val="12"/>
          <w:szCs w:val="12"/>
          <w:lang w:eastAsia="pl-PL"/>
        </w:rPr>
      </w:r>
    </w:p>
    <w:p>
      <w:pPr>
        <w:pStyle w:val="Normal"/>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wymaga wadium.</w:t>
      </w:r>
    </w:p>
    <w:p>
      <w:pPr>
        <w:pStyle w:val="Normal"/>
        <w:spacing w:lineRule="auto" w:line="240" w:before="0" w:after="60"/>
        <w:jc w:val="both"/>
        <w:rPr>
          <w:rFonts w:ascii="Times New Roman" w:hAnsi="Times New Roman" w:eastAsia="Times New Roman" w:cs="Times New Roman"/>
          <w:color w:val="FF0000"/>
          <w:sz w:val="24"/>
          <w:szCs w:val="24"/>
          <w:lang w:eastAsia="pl-PL"/>
        </w:rPr>
      </w:pPr>
      <w:r>
        <w:rPr>
          <w:rFonts w:eastAsia="Times New Roman" w:cs="Times New Roman" w:ascii="Times New Roman" w:hAnsi="Times New Roman"/>
          <w:color w:val="FF0000"/>
          <w:sz w:val="24"/>
          <w:szCs w:val="24"/>
          <w:lang w:eastAsia="pl-PL"/>
        </w:rPr>
      </w:r>
    </w:p>
    <w:p>
      <w:pPr>
        <w:pStyle w:val="Normal"/>
        <w:numPr>
          <w:ilvl w:val="0"/>
          <w:numId w:val="80"/>
        </w:numPr>
        <w:spacing w:before="0" w:after="60"/>
        <w:jc w:val="both"/>
        <w:rPr>
          <w:bCs/>
        </w:rPr>
      </w:pPr>
      <w:r>
        <w:rPr/>
        <w:t xml:space="preserve">Wykonawca przystępujący do postępowania jest zobowiązany, przed upływem terminu składania ofert, wnieść </w:t>
      </w:r>
      <w:r>
        <w:rPr>
          <w:b/>
        </w:rPr>
        <w:t xml:space="preserve">wadium w </w:t>
      </w:r>
      <w:r>
        <w:rPr>
          <w:b/>
          <w:bCs/>
        </w:rPr>
        <w:t>kwocie:</w:t>
      </w:r>
    </w:p>
    <w:p>
      <w:pPr>
        <w:pStyle w:val="Normal"/>
        <w:spacing w:before="0" w:after="60"/>
        <w:ind w:left="360" w:hanging="0"/>
        <w:jc w:val="both"/>
        <w:rPr>
          <w:b/>
          <w:b/>
          <w:bCs/>
        </w:rPr>
      </w:pPr>
      <w:r>
        <w:rPr/>
        <w:t xml:space="preserve">Zad.1 </w:t>
      </w:r>
      <w:r>
        <w:rPr>
          <w:b/>
          <w:bCs/>
        </w:rPr>
        <w:t xml:space="preserve"> </w:t>
      </w:r>
      <w:r>
        <w:rPr>
          <w:b/>
          <w:bCs/>
          <w:highlight w:val="lightGray"/>
        </w:rPr>
        <w:t>2000,00 zł</w:t>
      </w:r>
      <w:r>
        <w:rPr>
          <w:b/>
          <w:bCs/>
        </w:rPr>
        <w:t xml:space="preserve"> (słownie: dwa tysiące  złotych 00/100).</w:t>
      </w:r>
    </w:p>
    <w:p>
      <w:pPr>
        <w:pStyle w:val="Normal"/>
        <w:spacing w:before="0" w:after="60"/>
        <w:ind w:left="360" w:hanging="0"/>
        <w:jc w:val="both"/>
        <w:rPr>
          <w:b/>
          <w:b/>
          <w:bCs/>
        </w:rPr>
      </w:pPr>
      <w:r>
        <w:rPr/>
        <w:t xml:space="preserve">Zad.1 </w:t>
      </w:r>
      <w:r>
        <w:rPr>
          <w:b/>
          <w:bCs/>
        </w:rPr>
        <w:t xml:space="preserve"> </w:t>
      </w:r>
      <w:r>
        <w:rPr>
          <w:b/>
          <w:bCs/>
          <w:highlight w:val="lightGray"/>
        </w:rPr>
        <w:t>1500,00 zł</w:t>
      </w:r>
      <w:r>
        <w:rPr>
          <w:b/>
          <w:bCs/>
        </w:rPr>
        <w:t xml:space="preserve"> (słownie: jeden tysiąc pięćset   złotych 00/100).</w:t>
      </w:r>
    </w:p>
    <w:p>
      <w:pPr>
        <w:pStyle w:val="Normal"/>
        <w:spacing w:before="0" w:after="60"/>
        <w:ind w:left="360" w:hanging="0"/>
        <w:jc w:val="both"/>
        <w:rPr>
          <w:bCs/>
        </w:rPr>
      </w:pPr>
      <w:r>
        <w:rPr>
          <w:bCs/>
        </w:rPr>
      </w:r>
    </w:p>
    <w:p>
      <w:pPr>
        <w:pStyle w:val="Normal"/>
        <w:numPr>
          <w:ilvl w:val="0"/>
          <w:numId w:val="53"/>
        </w:numPr>
        <w:spacing w:before="0" w:after="60"/>
        <w:ind w:left="357" w:hanging="360"/>
        <w:jc w:val="both"/>
        <w:rPr>
          <w:b/>
          <w:b/>
        </w:rPr>
      </w:pPr>
      <w:r>
        <w:rPr/>
        <w:t xml:space="preserve">Wadium musi obejmować pełen okres związania ofertą. </w:t>
      </w:r>
    </w:p>
    <w:p>
      <w:pPr>
        <w:pStyle w:val="Normal"/>
        <w:numPr>
          <w:ilvl w:val="0"/>
          <w:numId w:val="53"/>
        </w:numPr>
        <w:spacing w:before="0" w:after="60"/>
        <w:ind w:left="357" w:hanging="360"/>
        <w:jc w:val="both"/>
        <w:rPr/>
      </w:pPr>
      <w:r>
        <w:rPr/>
        <w:t>Wadium może być wniesione w jednej lub kilku formach wskazanych w art. 97 ust. 7 ustawy Pzp.</w:t>
      </w:r>
    </w:p>
    <w:p>
      <w:pPr>
        <w:pStyle w:val="Normal"/>
        <w:numPr>
          <w:ilvl w:val="0"/>
          <w:numId w:val="53"/>
        </w:numPr>
        <w:spacing w:before="0" w:after="60"/>
        <w:ind w:left="357" w:hanging="357"/>
        <w:jc w:val="both"/>
        <w:rPr/>
      </w:pPr>
      <w:r>
        <w:rPr/>
        <w:t xml:space="preserve">Wadium wnoszone w pieniądzu należy wpłacić przelewem na rachunek bankowy Zamawiającego: </w:t>
      </w:r>
      <w:r>
        <w:rPr>
          <w:b/>
          <w:highlight w:val="lightGray"/>
        </w:rPr>
        <w:t>37-95880004-0000-3955-2000-0040</w:t>
      </w:r>
      <w:r>
        <w:rPr>
          <w:highlight w:val="lightGray"/>
        </w:rPr>
        <w:t xml:space="preserve"> z dopiskiem na przelewie: </w:t>
      </w:r>
      <w:r>
        <w:rPr>
          <w:b/>
          <w:highlight w:val="lightGray"/>
        </w:rPr>
        <w:t xml:space="preserve">Wadium do postępowania nr </w:t>
        <w:br/>
      </w:r>
      <w:r>
        <w:rPr>
          <w:b/>
        </w:rPr>
        <w:t xml:space="preserve">ZO.OS.22.2022 zadanie (1 lub 2, lub zadanie 1 i 2 jeżeli Wykonawca składa ofertę na 2 zadania) </w:t>
      </w:r>
      <w:r>
        <w:rPr/>
        <w:t>Wadium musi wpłynąć na wskazany rachunek bankowy Zamawiającego najpóźniej przed upływem terminu składania ofert (decyduje data wpływu na rachunek bankowy Zamawiającego).</w:t>
      </w:r>
    </w:p>
    <w:p>
      <w:pPr>
        <w:pStyle w:val="Normal"/>
        <w:numPr>
          <w:ilvl w:val="0"/>
          <w:numId w:val="53"/>
        </w:numPr>
        <w:spacing w:before="0" w:after="60"/>
        <w:jc w:val="both"/>
        <w:rPr/>
      </w:pPr>
      <w:r>
        <w:rPr/>
        <w:t xml:space="preserve">Wadium wnoszone w poręczeniach lub gwarancjach należy załączyć do oferty w oryginale </w:t>
        <w:br/>
        <w:t>w postaci dokumentu elektronicznego podpisanego kwalifikowanym podpisem elektronicznym przez wystawcę dokumentu i powinno zawierać następujące elementy:</w:t>
      </w:r>
    </w:p>
    <w:p>
      <w:pPr>
        <w:pStyle w:val="Normal"/>
        <w:numPr>
          <w:ilvl w:val="0"/>
          <w:numId w:val="54"/>
        </w:numPr>
        <w:spacing w:before="0" w:after="60"/>
        <w:ind w:left="714" w:hanging="357"/>
        <w:jc w:val="both"/>
        <w:rPr/>
      </w:pPr>
      <w:r>
        <w:rPr/>
        <w:t>nazwę dającego zlecenie (wykonawcy), beneficjenta gwarancji (Zamawiającego), gwaranta/poręczyciela oraz wskazanie ich siedzib. Beneficjentem wskazanym w gwarancji lub poręczeniu musi być Gminny Zakład Gospodarki Komunalnej w Żórawinie</w:t>
      </w:r>
    </w:p>
    <w:p>
      <w:pPr>
        <w:pStyle w:val="Normal"/>
        <w:numPr>
          <w:ilvl w:val="0"/>
          <w:numId w:val="54"/>
        </w:numPr>
        <w:spacing w:before="0" w:after="60"/>
        <w:ind w:left="714" w:hanging="357"/>
        <w:jc w:val="both"/>
        <w:rPr/>
      </w:pPr>
      <w:r>
        <w:rPr/>
        <w:t>określenie wierzytelności, która ma być zabezpieczona gwarancją/poręczeniem,</w:t>
      </w:r>
    </w:p>
    <w:p>
      <w:pPr>
        <w:pStyle w:val="Normal"/>
        <w:numPr>
          <w:ilvl w:val="0"/>
          <w:numId w:val="54"/>
        </w:numPr>
        <w:spacing w:before="0" w:after="60"/>
        <w:ind w:left="714" w:hanging="357"/>
        <w:jc w:val="both"/>
        <w:rPr/>
      </w:pPr>
      <w:r>
        <w:rPr/>
        <w:t>kwotę gwarancji/poręczenia,</w:t>
      </w:r>
    </w:p>
    <w:p>
      <w:pPr>
        <w:pStyle w:val="Normal"/>
        <w:numPr>
          <w:ilvl w:val="0"/>
          <w:numId w:val="54"/>
        </w:numPr>
        <w:spacing w:before="0" w:after="60"/>
        <w:ind w:left="714" w:hanging="357"/>
        <w:jc w:val="both"/>
        <w:rPr/>
      </w:pPr>
      <w:r>
        <w:rPr/>
        <w:t>termin ważności gwarancji/poręczenia,</w:t>
      </w:r>
    </w:p>
    <w:p>
      <w:pPr>
        <w:pStyle w:val="Normal"/>
        <w:numPr>
          <w:ilvl w:val="0"/>
          <w:numId w:val="54"/>
        </w:numPr>
        <w:spacing w:before="0" w:after="60"/>
        <w:ind w:left="714" w:hanging="357"/>
        <w:jc w:val="both"/>
        <w:rPr/>
      </w:pPr>
      <w:r>
        <w:rPr/>
        <w:t>zobowiązanie gwaranta do zapłacenia kwoty gwarancji/poręczenia bezwarunkowo, na pierwsze pisemne żądanie Zamawiającego, w sytuacjach określonych w art</w:t>
      </w:r>
      <w:bookmarkStart w:id="8" w:name="_Toc42045495"/>
      <w:r>
        <w:rPr/>
        <w:t>. 98 ust. 6 ustawy Pzp.</w:t>
      </w:r>
    </w:p>
    <w:p>
      <w:pPr>
        <w:pStyle w:val="Normal"/>
        <w:numPr>
          <w:ilvl w:val="0"/>
          <w:numId w:val="53"/>
        </w:numPr>
        <w:spacing w:before="0" w:after="60"/>
        <w:jc w:val="both"/>
        <w:rPr/>
      </w:pPr>
      <w:r>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pPr>
        <w:pStyle w:val="Normal"/>
        <w:numPr>
          <w:ilvl w:val="0"/>
          <w:numId w:val="53"/>
        </w:numPr>
        <w:spacing w:before="0" w:after="60"/>
        <w:jc w:val="both"/>
        <w:rPr/>
      </w:pPr>
      <w:bookmarkStart w:id="9" w:name="_Toc42045496"/>
      <w:bookmarkEnd w:id="8"/>
      <w:r>
        <w:rPr/>
        <w:t>Zamawiający dokona zwrotu wadium na zasadach określonych w art. 98 ust. 1–5 ustawy Pzp.</w:t>
      </w:r>
      <w:bookmarkEnd w:id="9"/>
    </w:p>
    <w:p>
      <w:pPr>
        <w:pStyle w:val="Normal"/>
        <w:numPr>
          <w:ilvl w:val="0"/>
          <w:numId w:val="53"/>
        </w:numPr>
        <w:spacing w:before="0" w:after="60"/>
        <w:jc w:val="both"/>
        <w:rPr/>
      </w:pPr>
      <w:r>
        <w:rPr/>
        <w:t>Zamawiający zatrzymuje wadium wraz z odsetkami na podstawie art. 98 ust. 6 ustawy Pzp.</w:t>
      </w:r>
    </w:p>
    <w:p>
      <w:pPr>
        <w:pStyle w:val="Normal"/>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Normal"/>
        <w:numPr>
          <w:ilvl w:val="0"/>
          <w:numId w:val="12"/>
        </w:numPr>
        <w:shd w:val="clear" w:color="auto" w:fill="FFF2CC" w:themeFill="accent4"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przygotowania ofert</w:t>
      </w:r>
    </w:p>
    <w:p>
      <w:pPr>
        <w:pStyle w:val="Normal"/>
        <w:shd w:val="clear" w:color="auto" w:fill="FFFFFF" w:themeFill="background1"/>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Zasady obowiązujące podczas przygotowywania ofert:</w:t>
      </w:r>
    </w:p>
    <w:p>
      <w:pPr>
        <w:pStyle w:val="Normal"/>
        <w:spacing w:lineRule="auto" w:line="240" w:before="0" w:after="60"/>
        <w:ind w:left="360" w:hanging="0"/>
        <w:jc w:val="both"/>
        <w:rPr>
          <w:rFonts w:ascii="Times New Roman" w:hAnsi="Times New Roman" w:eastAsia="Times New Roman" w:cs="Times New Roman"/>
          <w:b/>
          <w:b/>
          <w:bCs/>
          <w:sz w:val="12"/>
          <w:szCs w:val="12"/>
          <w:lang w:eastAsia="pl-PL"/>
        </w:rPr>
      </w:pPr>
      <w:r>
        <w:rPr>
          <w:rFonts w:eastAsia="Times New Roman" w:cs="Times New Roman" w:ascii="Times New Roman" w:hAnsi="Times New Roman"/>
          <w:b/>
          <w:bCs/>
          <w:sz w:val="12"/>
          <w:szCs w:val="12"/>
          <w:lang w:eastAsia="pl-PL"/>
        </w:rPr>
      </w:r>
    </w:p>
    <w:p>
      <w:pPr>
        <w:pStyle w:val="Normal"/>
        <w:numPr>
          <w:ilvl w:val="0"/>
          <w:numId w:val="81"/>
        </w:numPr>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Oferta musi być przedstawiona zgodnie z zasadami określonymi w ustawie i odpowiadać treści niniejszej SWZ.</w:t>
      </w:r>
    </w:p>
    <w:p>
      <w:pPr>
        <w:pStyle w:val="Normal"/>
        <w:numPr>
          <w:ilvl w:val="0"/>
          <w:numId w:val="21"/>
        </w:numPr>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Oferta wraz z załącznikami musi zostać sporządzona w języku polskim.</w:t>
      </w:r>
    </w:p>
    <w:p>
      <w:pPr>
        <w:pStyle w:val="Normal"/>
        <w:numPr>
          <w:ilvl w:val="0"/>
          <w:numId w:val="21"/>
        </w:numPr>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Ofertę należy sporządzić, </w:t>
      </w:r>
      <w:r>
        <w:rPr>
          <w:rFonts w:eastAsia="Times New Roman" w:cs="Times New Roman" w:ascii="Times New Roman" w:hAnsi="Times New Roman"/>
          <w:b/>
          <w:lang w:eastAsia="pl-PL"/>
        </w:rPr>
        <w:t>pod rygorem nieważności, w formie elektronicznej podpisanej kwalifikowanym podpisem elektronicznym</w:t>
      </w:r>
      <w:r>
        <w:rPr>
          <w:rFonts w:eastAsia="Times New Roman" w:cs="Times New Roman" w:ascii="Times New Roman" w:hAnsi="Times New Roman"/>
          <w:bCs/>
          <w:lang w:eastAsia="pl-PL"/>
        </w:rPr>
        <w:t xml:space="preserve"> </w:t>
      </w:r>
      <w:r>
        <w:rPr>
          <w:rFonts w:eastAsia="Times New Roman" w:cs="Times New Roman" w:ascii="Times New Roman" w:hAnsi="Times New Roman"/>
          <w:b/>
          <w:lang w:eastAsia="pl-PL"/>
        </w:rPr>
        <w:t xml:space="preserve">lub w postaci elektronicznej </w:t>
      </w:r>
      <w:r>
        <w:rPr>
          <w:rFonts w:eastAsia="Times New Roman" w:cs="Times New Roman" w:ascii="Times New Roman" w:hAnsi="Times New Roman"/>
          <w:bCs/>
          <w:lang w:eastAsia="pl-PL"/>
        </w:rPr>
        <w:t>opatrzonej</w:t>
      </w:r>
      <w:r>
        <w:rPr>
          <w:rFonts w:eastAsia="Times New Roman" w:cs="Times New Roman" w:ascii="Times New Roman" w:hAnsi="Times New Roman"/>
          <w:lang w:eastAsia="pl-PL"/>
        </w:rPr>
        <w:t xml:space="preserve"> </w:t>
      </w:r>
      <w:r>
        <w:rPr>
          <w:rFonts w:eastAsia="Times New Roman" w:cs="Times New Roman" w:ascii="Times New Roman" w:hAnsi="Times New Roman"/>
          <w:bCs/>
          <w:lang w:eastAsia="pl-PL"/>
        </w:rPr>
        <w:t>podpisem zaufanym lub podpisem osobistym</w:t>
      </w:r>
      <w:r>
        <w:rPr>
          <w:rFonts w:eastAsia="Times New Roman" w:cs="Times New Roman" w:ascii="Times New Roman" w:hAnsi="Times New Roman"/>
          <w:lang w:eastAsia="pl-PL"/>
        </w:rPr>
        <w:t xml:space="preserve">. </w:t>
      </w:r>
    </w:p>
    <w:p>
      <w:pPr>
        <w:pStyle w:val="Normal"/>
        <w:numPr>
          <w:ilvl w:val="0"/>
          <w:numId w:val="21"/>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ma prawo złożyć tylko jedną ofertę. Oferty wykonawcy, który przedłoży więcej niż jedną ofertę, zostaną odrzucone.</w:t>
      </w:r>
    </w:p>
    <w:p>
      <w:pPr>
        <w:pStyle w:val="Normal"/>
        <w:numPr>
          <w:ilvl w:val="0"/>
          <w:numId w:val="21"/>
        </w:numPr>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Wykonawca składa ofertę wraz z wymaganymi oświadczeniami i dokumentami, wskazanymi </w:t>
        <w:br/>
        <w:t>w Rozdziale II ust. 9 SWZ.</w:t>
      </w:r>
    </w:p>
    <w:p>
      <w:pPr>
        <w:pStyle w:val="Normal"/>
        <w:numPr>
          <w:ilvl w:val="0"/>
          <w:numId w:val="21"/>
        </w:numPr>
        <w:spacing w:lineRule="auto" w:line="216" w:before="0" w:after="5"/>
        <w:ind w:left="360" w:right="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Sposób zaszyfrowania oferty opisany został w Instrukcji użytkownika dostępnej na miniPortalu </w:t>
      </w:r>
    </w:p>
    <w:p>
      <w:pPr>
        <w:pStyle w:val="Normal"/>
        <w:spacing w:lineRule="auto" w:line="216" w:before="0" w:after="5"/>
        <w:ind w:left="360" w:right="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sposobu obliczenia ceny</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8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Łączna cena oferty musi być podana liczbowo w kwocie netto i brutto w złotych polskich (PLN), na formularzu (ofercie Wykonawcy) stanowiącym </w:t>
      </w:r>
      <w:r>
        <w:rPr>
          <w:rFonts w:eastAsia="Times New Roman" w:cs="Times New Roman" w:ascii="Times New Roman" w:hAnsi="Times New Roman"/>
          <w:b/>
          <w:bCs/>
          <w:lang w:eastAsia="pl-PL"/>
        </w:rPr>
        <w:t>Załącznik nr 1 do SWZ</w:t>
      </w:r>
      <w:r>
        <w:rPr>
          <w:rFonts w:eastAsia="Times New Roman" w:cs="Times New Roman" w:ascii="Times New Roman" w:hAnsi="Times New Roman"/>
          <w:lang w:eastAsia="pl-PL"/>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2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2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Cena musi obejmować wszystkie koszty wynikające z opisu przedmiotu zamówienia zgodnie </w:t>
        <w:br/>
        <w:t>z Rozdziałem II ust. 1 pkt 1), a także wszystkie koszty wynikające z obowiązków Wykonawcy wyszczególnionych we wzorze</w:t>
      </w:r>
      <w:r>
        <w:rPr>
          <w:rFonts w:eastAsia="Times New Roman" w:cs="Times New Roman" w:ascii="Times New Roman" w:hAnsi="Times New Roman"/>
          <w:b/>
          <w:lang w:eastAsia="pl-PL"/>
        </w:rPr>
        <w:t xml:space="preserve">  umowy, stanowiącym Załącznik nr 3 do SWZ. </w:t>
      </w:r>
    </w:p>
    <w:p>
      <w:pPr>
        <w:pStyle w:val="Normal"/>
        <w:numPr>
          <w:ilvl w:val="0"/>
          <w:numId w:val="2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 cenie oferty powinny być również uwzględnione w szczególności wszystkie należności publiczno-prawne. </w:t>
      </w:r>
    </w:p>
    <w:p>
      <w:pPr>
        <w:pStyle w:val="Normal"/>
        <w:numPr>
          <w:ilvl w:val="0"/>
          <w:numId w:val="2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bookmarkStart w:id="10" w:name="bookmark28"/>
      <w:bookmarkStart w:id="11" w:name="bookmark28"/>
      <w:bookmarkEnd w:id="11"/>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40"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Rozdział III - Informacje o przebiegu postępowania</w:t>
      </w:r>
    </w:p>
    <w:p>
      <w:pPr>
        <w:pStyle w:val="Normal"/>
        <w:spacing w:lineRule="auto" w:line="240" w:before="0" w:after="0"/>
        <w:ind w:left="36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83"/>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porozumiewania się Zamawiającego z wykonawcami</w:t>
      </w:r>
    </w:p>
    <w:p>
      <w:pPr>
        <w:pStyle w:val="Normal"/>
        <w:tabs>
          <w:tab w:val="left" w:pos="708" w:leader="none"/>
        </w:tabs>
        <w:spacing w:lineRule="auto" w:line="240" w:before="0" w:after="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rPr/>
      </w:pPr>
      <w:r>
        <w:rPr>
          <w:rFonts w:eastAsia="Times New Roman" w:cs="Times New Roman" w:ascii="Times New Roman" w:hAnsi="Times New Roman"/>
          <w:lang w:eastAsia="pl-PL"/>
        </w:rPr>
        <w:t xml:space="preserve">W postępowaniu o udzielenie zamówienia komunikacja między Zamawiającym, a Wykonawcami odbywa się przy użyciu miniPortalu  </w:t>
      </w:r>
      <w:hyperlink r:id="rId15">
        <w:r>
          <w:rPr>
            <w:rStyle w:val="ListLabel283"/>
            <w:rFonts w:eastAsia="Calibri Light" w:cs="Times New Roman" w:ascii="Times New Roman" w:hAnsi="Times New Roman"/>
            <w:color w:val="000080"/>
            <w:u w:val="single"/>
            <w:lang w:eastAsia="pl-PL"/>
          </w:rPr>
          <w:t>https://miniportal.uzp.gov.pl</w:t>
        </w:r>
      </w:hyperlink>
      <w:r>
        <w:rPr>
          <w:rFonts w:eastAsia="Times New Roman" w:cs="Times New Roman" w:ascii="Times New Roman" w:hAnsi="Times New Roman"/>
          <w:lang w:eastAsia="pl-PL"/>
        </w:rPr>
        <w:t xml:space="preserve">, ePUAPu </w:t>
      </w:r>
      <w:hyperlink r:id="rId16">
        <w:r>
          <w:rPr>
            <w:rStyle w:val="ListLabel284"/>
            <w:rFonts w:eastAsia="Calibri Light" w:cs="Times New Roman" w:ascii="Times New Roman" w:hAnsi="Times New Roman"/>
            <w:color w:val="000080"/>
            <w:sz w:val="24"/>
            <w:szCs w:val="24"/>
            <w:u w:val="single"/>
            <w:lang w:eastAsia="pl-PL"/>
          </w:rPr>
          <w:t>https://epuap.gov.pl/wps/portal</w:t>
        </w:r>
      </w:hyperlink>
      <w:r>
        <w:rPr>
          <w:rFonts w:eastAsia="Calibri Light" w:cs="Times New Roman" w:ascii="Times New Roman" w:hAnsi="Times New Roman"/>
          <w:color w:val="000080"/>
          <w:sz w:val="24"/>
          <w:szCs w:val="24"/>
          <w:u w:val="single"/>
          <w:lang w:eastAsia="pl-PL"/>
        </w:rPr>
        <w:t xml:space="preserve">, adres skrytki:  </w:t>
      </w:r>
      <w:r>
        <w:rPr>
          <w:rFonts w:eastAsia="Times New Roman" w:cs="Arial" w:ascii="Times New Roman" w:hAnsi="Times New Roman"/>
          <w:color w:val="4472C4" w:themeColor="accent1"/>
          <w:sz w:val="24"/>
          <w:szCs w:val="24"/>
          <w:shd w:fill="FFFFFF" w:val="clear"/>
          <w:lang w:eastAsia="pl-PL"/>
        </w:rPr>
        <w:t>GZGK (/GZGK/SkrytkaESP)</w:t>
      </w:r>
      <w:r>
        <w:rPr>
          <w:rFonts w:eastAsia="Times New Roman" w:cs="Times New Roman" w:ascii="Times New Roman" w:hAnsi="Times New Roman"/>
          <w:u w:val="single" w:color="000000"/>
          <w:lang w:eastAsia="pl-PL"/>
        </w:rPr>
        <w:t>,</w:t>
      </w:r>
      <w:r>
        <w:rPr>
          <w:rFonts w:eastAsia="Times New Roman" w:cs="Times New Roman" w:ascii="Times New Roman" w:hAnsi="Times New Roman"/>
          <w:lang w:eastAsia="pl-PL"/>
        </w:rPr>
        <w:t xml:space="preserve"> oraz poczty elektronicznej:</w:t>
      </w:r>
      <w:r>
        <w:rPr>
          <w:rFonts w:eastAsia="Times New Roman" w:cs="Times New Roman" w:ascii="Times New Roman" w:hAnsi="Times New Roman"/>
          <w:sz w:val="24"/>
          <w:szCs w:val="24"/>
          <w:lang w:eastAsia="pl-PL"/>
        </w:rPr>
        <w:t xml:space="preserve"> </w:t>
      </w:r>
      <w:r>
        <w:rPr>
          <w:rFonts w:eastAsia="Calibri Light" w:cs="Times New Roman" w:ascii="Times New Roman" w:hAnsi="Times New Roman"/>
          <w:color w:val="000080"/>
          <w:sz w:val="24"/>
          <w:szCs w:val="24"/>
          <w:u w:val="single"/>
          <w:lang w:eastAsia="pl-PL"/>
        </w:rPr>
        <w:t>przetargi@wodociagizorawina.</w:t>
      </w:r>
      <w:hyperlink r:id="rId17">
        <w:r>
          <w:rPr>
            <w:rStyle w:val="ListLabel284"/>
            <w:rFonts w:eastAsia="Calibri Light" w:cs="Times New Roman" w:ascii="Times New Roman" w:hAnsi="Times New Roman"/>
            <w:color w:val="000080"/>
            <w:sz w:val="24"/>
            <w:szCs w:val="24"/>
            <w:u w:val="single"/>
            <w:lang w:eastAsia="pl-PL"/>
          </w:rPr>
          <w:t>pl</w:t>
        </w:r>
      </w:hyperlink>
    </w:p>
    <w:p>
      <w:pPr>
        <w:pStyle w:val="Normal"/>
        <w:spacing w:lineRule="auto" w:line="240" w:before="0" w:after="0"/>
        <w:ind w:left="273" w:right="57" w:hanging="259"/>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84"/>
        </w:numPr>
        <w:spacing w:lineRule="auto" w:line="216" w:before="0" w:after="5"/>
        <w:ind w:left="360" w:right="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Wnioski, zawiadomienia oraz informacje (zwanymi dalej ogólnie „korespondencją”) Zamawiający i Wykonawcy przekazują powołując się na numer ogłoszenia (BZP) lub ID postępowania (numer identyfikacyjny postępowania generowany przez miniPortal) numerem postępowania można posługiwać się przy wymianie korespondencji drogą mailową:</w:t>
      </w:r>
    </w:p>
    <w:p>
      <w:pPr>
        <w:pStyle w:val="Normal"/>
        <w:numPr>
          <w:ilvl w:val="1"/>
          <w:numId w:val="24"/>
        </w:numPr>
        <w:spacing w:lineRule="auto" w:line="216" w:before="0" w:after="0"/>
        <w:ind w:left="432" w:right="29" w:hanging="432"/>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lang w:eastAsia="pl-PL"/>
        </w:rPr>
        <w:t>za pośrednictwem dedykowanego formularza dostępnego na ePUAP oraz udostępnionego przez miniPortal (Formularz do komunikacji),</w:t>
      </w:r>
    </w:p>
    <w:p>
      <w:pPr>
        <w:pStyle w:val="Normal"/>
        <w:numPr>
          <w:ilvl w:val="1"/>
          <w:numId w:val="24"/>
        </w:numPr>
        <w:spacing w:lineRule="auto" w:line="216" w:before="0" w:after="5"/>
        <w:ind w:left="432" w:right="29" w:hanging="432"/>
        <w:rPr>
          <w:rFonts w:ascii="Times New Roman" w:hAnsi="Times New Roman" w:eastAsia="Times New Roman" w:cs="Times New Roman"/>
          <w:sz w:val="24"/>
          <w:szCs w:val="24"/>
          <w:lang w:eastAsia="pl-PL"/>
        </w:rPr>
      </w:pPr>
      <w:r>
        <w:rPr>
          <w:rFonts w:eastAsia="Times New Roman" w:cs="Times New Roman" w:ascii="Times New Roman" w:hAnsi="Times New Roman"/>
          <w:b/>
          <w:bCs/>
          <w:lang w:eastAsia="pl-PL"/>
        </w:rPr>
        <w:t>drogą elektroniczną na adres:</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color w:val="000080"/>
          <w:sz w:val="24"/>
          <w:szCs w:val="24"/>
          <w:u w:val="single"/>
          <w:lang w:eastAsia="pl-PL"/>
        </w:rPr>
        <w:t>przetargi</w:t>
      </w:r>
      <w:r>
        <w:rPr>
          <w:rFonts w:eastAsia="Calibri Light" w:cs="Times New Roman" w:ascii="Times New Roman" w:hAnsi="Times New Roman"/>
          <w:color w:val="000080"/>
          <w:sz w:val="24"/>
          <w:szCs w:val="24"/>
          <w:u w:val="single"/>
          <w:lang w:eastAsia="pl-PL"/>
        </w:rPr>
        <w:t>@wodociagizorawina.pl</w:t>
      </w:r>
      <w:r>
        <w:rPr>
          <w:rFonts w:eastAsia="Times New Roman" w:cs="Times New Roman" w:ascii="Times New Roman" w:hAnsi="Times New Roman"/>
          <w:sz w:val="24"/>
          <w:szCs w:val="24"/>
          <w:lang w:eastAsia="pl-PL"/>
        </w:rPr>
        <w:t>;</w:t>
      </w:r>
      <w:r>
        <w:rPr>
          <w:rFonts w:eastAsia="Times New Roman" w:cs="Times New Roman" w:ascii="Times New Roman" w:hAnsi="Times New Roman"/>
          <w:b/>
          <w:bCs/>
          <w:color w:val="0070C0"/>
          <w:lang w:eastAsia="pl-PL"/>
        </w:rPr>
        <w:t xml:space="preserve">, </w:t>
      </w:r>
      <w:r>
        <w:rPr>
          <w:rFonts w:eastAsia="Times New Roman" w:cs="Times New Roman" w:ascii="Times New Roman" w:hAnsi="Times New Roman"/>
          <w:b/>
          <w:bCs/>
          <w:u w:val="single" w:color="000000"/>
          <w:lang w:eastAsia="pl-PL"/>
        </w:rPr>
        <w:t>przy czym ten sposób komunikacji nie jest właściwy dla złożenia oferty oraz dokumentów składanych wraz</w:t>
      </w:r>
      <w:r>
        <w:rPr>
          <w:rFonts w:eastAsia="Times New Roman" w:cs="Times New Roman" w:ascii="Times New Roman" w:hAnsi="Times New Roman"/>
          <w:u w:val="single" w:color="000000"/>
          <w:lang w:eastAsia="pl-PL"/>
        </w:rPr>
        <w:t xml:space="preserve"> z ofertą</w:t>
      </w:r>
      <w:r>
        <w:rPr>
          <w:rFonts w:eastAsia="Times New Roman" w:cs="Times New Roman" w:ascii="Times New Roman" w:hAnsi="Times New Roman"/>
          <w:lang w:eastAsia="pl-PL"/>
        </w:rPr>
        <w:t xml:space="preserve"> (wymagających szyfrowania), które należy składać wyłącznie w sposób wskazany w pkt 1).</w:t>
      </w:r>
    </w:p>
    <w:p>
      <w:pPr>
        <w:pStyle w:val="Normal"/>
        <w:numPr>
          <w:ilvl w:val="1"/>
          <w:numId w:val="24"/>
        </w:numPr>
        <w:spacing w:lineRule="auto" w:line="240" w:before="0" w:after="0"/>
        <w:ind w:left="284" w:right="-108"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Osoba wskazana do porozumiewania się z wykonawcami: </w:t>
      </w:r>
      <w:r>
        <w:rPr>
          <w:rFonts w:eastAsia="Times New Roman" w:cs="Times New Roman" w:ascii="Times New Roman" w:hAnsi="Times New Roman"/>
          <w:sz w:val="24"/>
          <w:szCs w:val="24"/>
          <w:lang w:eastAsia="pl-PL"/>
        </w:rPr>
        <w:t>Dominika Domino-Małek</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tel. +48 71 31 65 116 w. 27 ub e-mail: </w:t>
      </w:r>
      <w:r>
        <w:rPr>
          <w:rFonts w:eastAsia="Times New Roman" w:cs="Times New Roman" w:ascii="Times New Roman" w:hAnsi="Times New Roman"/>
          <w:color w:val="000080"/>
          <w:sz w:val="24"/>
          <w:szCs w:val="24"/>
          <w:u w:val="single"/>
          <w:lang w:eastAsia="pl-PL"/>
        </w:rPr>
        <w:t>przetargi</w:t>
      </w:r>
      <w:r>
        <w:rPr>
          <w:rFonts w:eastAsia="Calibri Light" w:cs="Times New Roman" w:ascii="Times New Roman" w:hAnsi="Times New Roman"/>
          <w:color w:val="000080"/>
          <w:sz w:val="24"/>
          <w:szCs w:val="24"/>
          <w:u w:val="single"/>
          <w:lang w:eastAsia="pl-PL"/>
        </w:rPr>
        <w:t>@wodociagizorawina.pl</w:t>
      </w:r>
    </w:p>
    <w:p>
      <w:pPr>
        <w:pStyle w:val="Normal"/>
        <w:tabs>
          <w:tab w:val="clear" w:pos="708"/>
          <w:tab w:val="left" w:pos="284" w:leader="none"/>
        </w:tabs>
        <w:spacing w:lineRule="auto" w:line="240" w:before="0" w:after="0"/>
        <w:ind w:right="23"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24"/>
        </w:numPr>
        <w:spacing w:lineRule="auto" w:line="240" w:before="0" w:after="60"/>
        <w:ind w:left="284" w:right="57"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Wykonawca może zwrócić się do Zamawiającego z wnioskiem o </w:t>
      </w:r>
      <w:r>
        <w:rPr>
          <w:rFonts w:eastAsia="Times New Roman" w:cs="Times New Roman" w:ascii="Times New Roman" w:hAnsi="Times New Roman"/>
          <w:b/>
          <w:bCs/>
          <w:u w:val="single"/>
          <w:lang w:eastAsia="pl-PL"/>
        </w:rPr>
        <w:t>wyjaśnienie treści SWZ</w:t>
      </w:r>
      <w:r>
        <w:rPr>
          <w:rFonts w:eastAsia="Times New Roman" w:cs="Times New Roman" w:ascii="Times New Roman" w:hAnsi="Times New Roman"/>
          <w:lang w:eastAsia="pl-PL"/>
        </w:rPr>
        <w:t>:</w:t>
      </w:r>
    </w:p>
    <w:p>
      <w:pPr>
        <w:pStyle w:val="Normal"/>
        <w:widowControl w:val="false"/>
        <w:numPr>
          <w:ilvl w:val="0"/>
          <w:numId w:val="85"/>
        </w:numPr>
        <w:tabs>
          <w:tab w:val="clear" w:pos="708"/>
          <w:tab w:val="left" w:pos="567" w:leader="none"/>
        </w:tabs>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udzieli wyjaśnień niezwłocznie, jednak nie później niż na </w:t>
      </w:r>
      <w:r>
        <w:rPr>
          <w:rFonts w:eastAsia="Times New Roman" w:cs="Times New Roman" w:ascii="Times New Roman" w:hAnsi="Times New Roman"/>
          <w:b/>
          <w:bCs/>
          <w:lang w:eastAsia="pl-PL"/>
        </w:rPr>
        <w:t>2 dni przed upływem terminu składania ofert</w:t>
      </w:r>
      <w:r>
        <w:rPr>
          <w:rFonts w:eastAsia="Times New Roman" w:cs="Times New Roman" w:ascii="Times New Roman" w:hAnsi="Times New Roman"/>
          <w:lang w:eastAsia="pl-PL"/>
        </w:rPr>
        <w:t>, pod warunkiem że wniosek o wyjaśnienie treści</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SWZ</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wpłynął</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Zamawiającego</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nie</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później</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niż</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na</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4</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przed</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upływem terminu składania ofert.</w:t>
      </w:r>
    </w:p>
    <w:p>
      <w:pPr>
        <w:pStyle w:val="Normal"/>
        <w:widowControl w:val="false"/>
        <w:numPr>
          <w:ilvl w:val="0"/>
          <w:numId w:val="25"/>
        </w:numPr>
        <w:tabs>
          <w:tab w:val="clear" w:pos="708"/>
          <w:tab w:val="left" w:pos="567" w:leader="none"/>
        </w:tabs>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pPr>
        <w:pStyle w:val="Normal"/>
        <w:widowControl w:val="false"/>
        <w:numPr>
          <w:ilvl w:val="0"/>
          <w:numId w:val="25"/>
        </w:numPr>
        <w:tabs>
          <w:tab w:val="clear" w:pos="708"/>
          <w:tab w:val="left" w:pos="567" w:leader="none"/>
        </w:tabs>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gdy wniosek o wyjaśnienie  treści SWZ nie  wpłynął  w terminie,  o którym mowa  w lit. a),  Zamawiający nie  ma  obowiązku udzielania  wyjaśnień SWZ oraz</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obowiązku</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przedłużenia</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terminu</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składania</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ofert.</w:t>
      </w:r>
    </w:p>
    <w:p>
      <w:pPr>
        <w:pStyle w:val="Normal"/>
        <w:widowControl w:val="false"/>
        <w:numPr>
          <w:ilvl w:val="0"/>
          <w:numId w:val="25"/>
        </w:numPr>
        <w:tabs>
          <w:tab w:val="clear" w:pos="708"/>
          <w:tab w:val="left" w:pos="567" w:leader="none"/>
        </w:tabs>
        <w:spacing w:lineRule="auto" w:line="240" w:before="0" w:after="12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Przedłużenie terminu składania ofert, o których mowa w lit. b) nie </w:t>
      </w:r>
      <w:r>
        <w:rPr>
          <w:rFonts w:eastAsia="Times New Roman" w:cs="Times New Roman" w:ascii="Times New Roman" w:hAnsi="Times New Roman"/>
          <w:spacing w:val="-3"/>
          <w:lang w:eastAsia="pl-PL"/>
        </w:rPr>
        <w:t xml:space="preserve">wpływa </w:t>
      </w:r>
      <w:r>
        <w:rPr>
          <w:rFonts w:eastAsia="Times New Roman" w:cs="Times New Roman" w:ascii="Times New Roman" w:hAnsi="Times New Roman"/>
          <w:lang w:eastAsia="pl-PL"/>
        </w:rPr>
        <w:t>na</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bieg terminu składania wniosku  o wyjaśnienie  treści SWZ.</w:t>
      </w:r>
    </w:p>
    <w:p>
      <w:pPr>
        <w:pStyle w:val="Normal"/>
        <w:widowControl w:val="false"/>
        <w:numPr>
          <w:ilvl w:val="1"/>
          <w:numId w:val="24"/>
        </w:numPr>
        <w:tabs>
          <w:tab w:val="clear" w:pos="708"/>
          <w:tab w:val="left" w:pos="284" w:leader="none"/>
        </w:tabs>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Zmiany i wyjaśnienia treści SWZ oraz inne dokumenty zamówienia bezpośrednio związane </w:t>
        <w:br/>
        <w:t>z postępowaniem o udzielenie zamówienia będą udostępniane na stronie internetowej prowadzonego postępowania.</w:t>
      </w:r>
    </w:p>
    <w:p>
      <w:pPr>
        <w:pStyle w:val="Normal"/>
        <w:tabs>
          <w:tab w:val="clear" w:pos="708"/>
          <w:tab w:val="left" w:pos="284"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23"/>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oraz termin składania ofert</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23"/>
        </w:numPr>
        <w:spacing w:lineRule="auto" w:line="240" w:before="0" w:after="0"/>
        <w:ind w:left="425" w:right="-108"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b/>
          <w:highlight w:val="lightGray"/>
          <w:lang w:eastAsia="pl-PL"/>
        </w:rPr>
        <w:t xml:space="preserve">Ofertę należy złożyć w terminie do dnia </w:t>
      </w:r>
      <w:r>
        <w:rPr>
          <w:rFonts w:eastAsia="Times New Roman" w:cs="Times New Roman" w:ascii="Times New Roman" w:hAnsi="Times New Roman"/>
          <w:b/>
          <w:lang w:eastAsia="pl-PL"/>
        </w:rPr>
        <w:t>01.12.2022r  r</w:t>
      </w:r>
      <w:r>
        <w:rPr>
          <w:rFonts w:eastAsia="Times New Roman" w:cs="Times New Roman" w:ascii="Times New Roman" w:hAnsi="Times New Roman"/>
          <w:b/>
          <w:highlight w:val="lightGray"/>
          <w:lang w:eastAsia="pl-PL"/>
        </w:rPr>
        <w:t>. do godz. 9:30</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23"/>
        </w:numPr>
        <w:spacing w:lineRule="auto" w:line="240" w:before="0" w:after="60"/>
        <w:ind w:left="425" w:right="-108"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Sposób składania ofert:</w:t>
      </w:r>
    </w:p>
    <w:p>
      <w:pPr>
        <w:pStyle w:val="Normal"/>
        <w:numPr>
          <w:ilvl w:val="0"/>
          <w:numId w:val="86"/>
        </w:numPr>
        <w:spacing w:lineRule="auto" w:line="240" w:before="0" w:after="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składa ofertę wraz z załącznikami za pośrednictwem formularza do złożenia lub wycofania oferty dostępnego na ePUAP i udostępnionego również na miniPortalu. Sposób złożenia oferty opisany został w Instrukcji użytkownika dostępnej na miniPortalu. Sposób przygotowania ofert opisano w Rozdziale II ust. 11 SWZ.</w:t>
      </w:r>
    </w:p>
    <w:p>
      <w:pPr>
        <w:pStyle w:val="Normal"/>
        <w:numPr>
          <w:ilvl w:val="0"/>
          <w:numId w:val="26"/>
        </w:numPr>
        <w:shd w:val="clear" w:color="auto" w:fill="FFFFFF"/>
        <w:tabs>
          <w:tab w:val="clear" w:pos="708"/>
          <w:tab w:val="left" w:pos="1134" w:leader="none"/>
        </w:tabs>
        <w:spacing w:lineRule="auto" w:line="240" w:before="0" w:after="6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pPr>
        <w:pStyle w:val="Normal"/>
        <w:numPr>
          <w:ilvl w:val="0"/>
          <w:numId w:val="26"/>
        </w:numPr>
        <w:shd w:val="clear" w:color="auto" w:fill="FFFFFF"/>
        <w:tabs>
          <w:tab w:val="clear" w:pos="708"/>
          <w:tab w:val="left" w:pos="1134" w:leader="none"/>
        </w:tabs>
        <w:spacing w:lineRule="auto" w:line="240" w:before="0" w:after="6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Ofertę może złożyć osoba fizyczna, osoba prawna, lub jednostka organizacyjna nieposiadająca osobowości prawnej oraz podmioty te występujące wspólnie.</w:t>
      </w:r>
    </w:p>
    <w:p>
      <w:pPr>
        <w:pStyle w:val="Normal"/>
        <w:numPr>
          <w:ilvl w:val="0"/>
          <w:numId w:val="26"/>
        </w:numPr>
        <w:shd w:val="clear" w:color="auto" w:fill="FFFFFF"/>
        <w:tabs>
          <w:tab w:val="clear" w:pos="708"/>
          <w:tab w:val="left" w:pos="1134" w:leader="none"/>
        </w:tabs>
        <w:spacing w:lineRule="auto" w:line="240" w:before="0" w:after="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informuje, iż zgodnie z art. 18 w zw. z art. 74 ust. 2 pkt 1) ustawy oferty składane </w:t>
        <w:br/>
        <w:t xml:space="preserve">w postępowaniu o zamówienie publiczne są jawne i podlegają udostępnieniu od chwili ich otwarcia, z wyjątkiem informacji stanowiących tajemnicę przedsiębiorstwa w rozumieniu ustawy z dnia 16 kwietnia 1993 r. o zwalczaniu nieuczciwej konkurencji, jeśli wykonawca </w:t>
        <w:br/>
        <w:t xml:space="preserve">w terminie składania ofert zastrzegł, że nie mogą one być udostępniane i jednocześnie wykazał, iż zastrzeżone informacje stanowią tajemnicę przedsiębiorstwa (zastrzeżenie z wykazaniem jego podstawy wykonawca załącza do oferty). Wykonawca nie może zastrzec informacji, </w:t>
        <w:br/>
        <w:t>o których mowa w art. 222 ust. 5 ustawy Pzp.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Normal"/>
        <w:shd w:val="clear" w:color="auto" w:fill="FFFFFF"/>
        <w:tabs>
          <w:tab w:val="clear" w:pos="708"/>
          <w:tab w:val="left" w:pos="1134"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tabs>
          <w:tab w:val="clear" w:pos="708"/>
          <w:tab w:val="left" w:pos="709" w:leader="none"/>
        </w:tabs>
        <w:spacing w:lineRule="auto" w:line="240" w:before="0" w:after="60"/>
        <w:ind w:left="708"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ab/>
        <w:t xml:space="preserve">Zastrzeżenie informacji, które nie stanowią tajemnicy przedsiębiorstwa w rozumieniu ustawy </w:t>
        <w:br/>
        <w:t>z dnia 16 kwietnia 1993 r. o zwalczaniu nieuczciwej konkurencji będzie traktowane, jako bezskuteczne i skutkować będzie ich odtajnieniem.</w:t>
      </w:r>
    </w:p>
    <w:p>
      <w:pPr>
        <w:pStyle w:val="Normal"/>
        <w:numPr>
          <w:ilvl w:val="0"/>
          <w:numId w:val="26"/>
        </w:numPr>
        <w:shd w:val="clear" w:color="auto" w:fill="FFFFFF"/>
        <w:tabs>
          <w:tab w:val="clear" w:pos="708"/>
          <w:tab w:val="left" w:pos="1134" w:leader="none"/>
        </w:tabs>
        <w:spacing w:lineRule="auto" w:line="240" w:before="0" w:after="6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złożenia oferty i składających się na nią dokumentów i oświadczeń przez osob(ę)y niewymienion(ą)e w dokumencie rejestracyjnym (ewidencyjnym) Wykonawcy, należy do oferty dołączyć stosowne pełnomocnictwo.</w:t>
      </w:r>
    </w:p>
    <w:p>
      <w:pPr>
        <w:pStyle w:val="Normal"/>
        <w:numPr>
          <w:ilvl w:val="1"/>
          <w:numId w:val="23"/>
        </w:numPr>
        <w:shd w:val="clear" w:color="auto" w:fill="FFFFFF"/>
        <w:tabs>
          <w:tab w:val="clear" w:pos="708"/>
          <w:tab w:val="left" w:pos="1134" w:leader="none"/>
        </w:tabs>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Oferta może być złożona tylko do upływu terminu składania ofert. </w:t>
      </w:r>
    </w:p>
    <w:p>
      <w:pPr>
        <w:pStyle w:val="Normal"/>
        <w:numPr>
          <w:ilvl w:val="1"/>
          <w:numId w:val="23"/>
        </w:numPr>
        <w:shd w:val="clear" w:color="auto" w:fill="FFFFFF"/>
        <w:tabs>
          <w:tab w:val="clear" w:pos="708"/>
          <w:tab w:val="left" w:pos="1134" w:leader="none"/>
        </w:tabs>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Normal"/>
        <w:numPr>
          <w:ilvl w:val="1"/>
          <w:numId w:val="23"/>
        </w:numPr>
        <w:shd w:val="clear" w:color="auto" w:fill="FFFFFF"/>
        <w:tabs>
          <w:tab w:val="clear" w:pos="708"/>
          <w:tab w:val="left" w:pos="1134" w:leader="none"/>
        </w:tabs>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Wykonawca po upływie terminu do składania ofert nie może skutecznie dokonać zmiany ani wycofać złożonej oferty.</w:t>
      </w:r>
    </w:p>
    <w:p>
      <w:pPr>
        <w:pStyle w:val="Normal"/>
        <w:shd w:val="clear" w:color="auto" w:fill="FFFFFF"/>
        <w:tabs>
          <w:tab w:val="clear" w:pos="708"/>
          <w:tab w:val="left" w:pos="1134" w:leader="none"/>
        </w:tabs>
        <w:spacing w:lineRule="auto" w:line="240" w:before="0" w:after="0"/>
        <w:ind w:left="71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23"/>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otwarcia ofert</w:t>
      </w:r>
    </w:p>
    <w:p>
      <w:pPr>
        <w:pStyle w:val="Normal"/>
        <w:spacing w:lineRule="auto" w:line="240" w:before="0" w:after="0"/>
        <w:ind w:left="431"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87"/>
        </w:numPr>
        <w:spacing w:lineRule="auto" w:line="240" w:before="0" w:after="60"/>
        <w:ind w:left="431" w:right="-108" w:hanging="431"/>
        <w:jc w:val="both"/>
        <w:rPr>
          <w:rFonts w:ascii="Times New Roman" w:hAnsi="Times New Roman" w:eastAsia="Times New Roman" w:cs="Times New Roman"/>
          <w:sz w:val="24"/>
          <w:szCs w:val="24"/>
          <w:lang w:eastAsia="pl-PL"/>
        </w:rPr>
      </w:pPr>
      <w:r>
        <w:rPr>
          <w:rFonts w:eastAsia="Times New Roman" w:cs="Times New Roman" w:ascii="Times New Roman" w:hAnsi="Times New Roman"/>
          <w:b/>
          <w:highlight w:val="lightGray"/>
          <w:lang w:eastAsia="pl-PL"/>
        </w:rPr>
        <w:t xml:space="preserve">Otwarcie ofert nastąpi w dniu </w:t>
      </w:r>
      <w:r>
        <w:rPr>
          <w:rFonts w:eastAsia="Times New Roman" w:cs="Times New Roman" w:ascii="Times New Roman" w:hAnsi="Times New Roman"/>
          <w:b/>
          <w:lang w:eastAsia="pl-PL"/>
        </w:rPr>
        <w:t>01.12.2022r o godz. 10:00</w:t>
      </w:r>
      <w:r>
        <w:rPr>
          <w:rFonts w:eastAsia="Times New Roman" w:cs="Times New Roman" w:ascii="Times New Roman" w:hAnsi="Times New Roman"/>
          <w:lang w:eastAsia="pl-PL"/>
        </w:rPr>
        <w:t>.</w:t>
      </w:r>
    </w:p>
    <w:p>
      <w:pPr>
        <w:pStyle w:val="Normal"/>
        <w:numPr>
          <w:ilvl w:val="1"/>
          <w:numId w:val="27"/>
        </w:numPr>
        <w:spacing w:lineRule="auto" w:line="240" w:before="0" w:after="60"/>
        <w:ind w:left="432" w:right="-108" w:hanging="432"/>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najpóźniej przed otwarciem ofert, udostępni na stronie internetowej prowadzonego postępowania informację o kwocie, jaką zamierza przeznaczyć na sfinansowanie zamówienia.</w:t>
      </w:r>
    </w:p>
    <w:p>
      <w:pPr>
        <w:pStyle w:val="Normal"/>
        <w:numPr>
          <w:ilvl w:val="1"/>
          <w:numId w:val="27"/>
        </w:numPr>
        <w:spacing w:lineRule="auto" w:line="240" w:before="0" w:after="0"/>
        <w:ind w:left="432" w:right="-108" w:hanging="432"/>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niezwłocznie po otwarciu ofert, udostępnia na stronie internetowej prowadzonego postępowania informacje o:</w:t>
      </w:r>
    </w:p>
    <w:p>
      <w:pPr>
        <w:pStyle w:val="Normal"/>
        <w:numPr>
          <w:ilvl w:val="1"/>
          <w:numId w:val="88"/>
        </w:numPr>
        <w:spacing w:lineRule="auto" w:line="240" w:before="0" w:after="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nazwach albo imionach i nazwiskach oraz siedzibach lub miejscach prowadzonej działalności gospodarczej bądź miejscach zamieszkania wykonawców, których oferty zostały otwarte;</w:t>
      </w:r>
    </w:p>
    <w:p>
      <w:pPr>
        <w:pStyle w:val="Normal"/>
        <w:numPr>
          <w:ilvl w:val="1"/>
          <w:numId w:val="28"/>
        </w:numPr>
        <w:spacing w:lineRule="auto" w:line="240" w:before="0" w:after="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cenach lub kosztach zawartych w ofertach.</w:t>
      </w:r>
    </w:p>
    <w:p>
      <w:pPr>
        <w:pStyle w:val="Normal"/>
        <w:numPr>
          <w:ilvl w:val="1"/>
          <w:numId w:val="27"/>
        </w:numPr>
        <w:tabs>
          <w:tab w:val="clear" w:pos="708"/>
          <w:tab w:val="left" w:pos="42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wystąpienia awarii systemu teleinformatycznego, która spowoduje brak możliwości otwarcia ofert w terminie określonym przez Zamawiającego, otwarcie ofert nastąpi niezwłocznie po usunięciu awarii.</w:t>
      </w:r>
    </w:p>
    <w:p>
      <w:pPr>
        <w:pStyle w:val="Normal"/>
        <w:numPr>
          <w:ilvl w:val="1"/>
          <w:numId w:val="27"/>
        </w:numPr>
        <w:tabs>
          <w:tab w:val="clear" w:pos="708"/>
          <w:tab w:val="left" w:pos="42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Informację  o zmianie terminu otwarcia ofert  Zamawiający opublikuje na stronie prowadzonego postępowania</w:t>
      </w:r>
    </w:p>
    <w:p>
      <w:pPr>
        <w:pStyle w:val="Normal"/>
        <w:numPr>
          <w:ilvl w:val="0"/>
          <w:numId w:val="23"/>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związania ofertą</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89"/>
        </w:numPr>
        <w:spacing w:lineRule="auto" w:line="240" w:before="0" w:after="60"/>
        <w:ind w:left="426"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highlight w:val="lightGray"/>
          <w:lang w:eastAsia="pl-PL"/>
        </w:rPr>
        <w:t>Wykonawca</w:t>
      </w:r>
      <w:r>
        <w:rPr>
          <w:rFonts w:eastAsia="Times New Roman" w:cs="Times New Roman" w:ascii="Times New Roman" w:hAnsi="Times New Roman"/>
          <w:highlight w:val="lightGray"/>
          <w:lang w:eastAsia="pl-PL" w:bidi="pl-PL"/>
        </w:rPr>
        <w:t xml:space="preserve"> jest związany ofertą w terminie 30 dni od dnia upływu terminu składania ofert, tj. </w:t>
      </w:r>
      <w:r>
        <w:rPr>
          <w:rFonts w:eastAsia="Times New Roman" w:cs="Times New Roman" w:ascii="Times New Roman" w:hAnsi="Times New Roman"/>
          <w:b/>
          <w:bCs/>
          <w:highlight w:val="lightGray"/>
          <w:lang w:eastAsia="pl-PL"/>
        </w:rPr>
        <w:t xml:space="preserve">do dnia </w:t>
      </w:r>
      <w:r>
        <w:rPr>
          <w:rFonts w:eastAsia="Times New Roman" w:cs="Times New Roman" w:ascii="Times New Roman" w:hAnsi="Times New Roman"/>
          <w:b/>
          <w:bCs/>
          <w:color w:val="FF0000"/>
          <w:lang w:eastAsia="pl-PL"/>
        </w:rPr>
        <w:t>30.12.2022r.</w:t>
      </w:r>
    </w:p>
    <w:p>
      <w:pPr>
        <w:pStyle w:val="Normal"/>
        <w:numPr>
          <w:ilvl w:val="0"/>
          <w:numId w:val="29"/>
        </w:numPr>
        <w:spacing w:lineRule="auto" w:line="240" w:before="0" w:after="60"/>
        <w:ind w:left="426" w:right="-108"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bCs/>
          <w:lang w:eastAsia="pl-PL"/>
        </w:rPr>
        <w:t>Bieg terminu związania ofertą rozpoczyna się wraz z upływem terminu składania ofert.</w:t>
      </w:r>
    </w:p>
    <w:p>
      <w:pPr>
        <w:pStyle w:val="Normal"/>
        <w:numPr>
          <w:ilvl w:val="0"/>
          <w:numId w:val="29"/>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29"/>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Przedłużenie terminu związania ofertą, o którym mowa w pkt 3), wymaga złożenia przez wykonawcę pisemnego oświadczenia o wyrażeniu zgody na przedłużenie terminu związania ofertą.</w:t>
      </w:r>
    </w:p>
    <w:p>
      <w:pPr>
        <w:pStyle w:val="Normal"/>
        <w:numPr>
          <w:ilvl w:val="0"/>
          <w:numId w:val="29"/>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spacing w:lineRule="auto" w:line="240" w:before="0" w:after="0"/>
        <w:ind w:right="-108" w:hanging="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numPr>
          <w:ilvl w:val="0"/>
          <w:numId w:val="2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kryteriów oceny ofert wraz z podaniem wag tych kryteriów i sposobu oceny ofert</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120" w:after="120"/>
        <w:ind w:left="426" w:right="-108"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1) </w:t>
        <w:tab/>
        <w:t>Przy wyborze najkorzystniejszej oferty w zakresie zadania nr 1 i 2 zamawiający będzie kierował się następującymi kryteriami i odpowiadającymi im znaczeniami oraz w następujący sposób będzie oceniał spełnienie kryteriów:</w:t>
      </w:r>
    </w:p>
    <w:p>
      <w:pPr>
        <w:pStyle w:val="Normal"/>
        <w:spacing w:lineRule="auto" w:line="240" w:before="0" w:after="120"/>
        <w:ind w:left="425"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cena –80 %</w:t>
      </w:r>
    </w:p>
    <w:p>
      <w:pPr>
        <w:pStyle w:val="Normal"/>
        <w:spacing w:lineRule="auto" w:line="276" w:before="0" w:after="120"/>
        <w:ind w:firstLine="284"/>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gwarancja – 20%</w:t>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u w:val="single"/>
          <w:lang w:eastAsia="pl-PL"/>
        </w:rPr>
        <w:t>Kryterium ceny zostanie obliczone według następującego wzoru:</w:t>
      </w:r>
    </w:p>
    <w:p>
      <w:pPr>
        <w:pStyle w:val="Normal"/>
        <w:spacing w:lineRule="auto" w:line="240" w:before="0" w:after="0"/>
        <w:ind w:left="426"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(Cena najniższej oferty / Cena badanej oferty) x 80 = liczba punktów za kryterium cena.</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eastAsia="Times New Roman" w:cs="Times New Roman"/>
          <w:b/>
          <w:b/>
          <w:bCs/>
          <w:u w:val="single"/>
          <w:lang w:eastAsia="pl-PL"/>
        </w:rPr>
      </w:pPr>
      <w:r>
        <w:rPr>
          <w:rFonts w:eastAsia="Times New Roman" w:cs="Times New Roman" w:ascii="Times New Roman" w:hAnsi="Times New Roman"/>
          <w:b/>
          <w:bCs/>
          <w:u w:val="single"/>
          <w:lang w:eastAsia="pl-PL"/>
        </w:rPr>
        <w:t xml:space="preserve">Kryterium gwarancji </w:t>
      </w:r>
      <w:r>
        <w:rPr>
          <w:rFonts w:eastAsia="Times New Roman" w:cs="Times New Roman" w:ascii="Times New Roman" w:hAnsi="Times New Roman"/>
          <w:u w:val="single"/>
          <w:lang w:eastAsia="pl-PL"/>
        </w:rPr>
        <w:t xml:space="preserve"> </w:t>
      </w:r>
      <w:r>
        <w:rPr>
          <w:rFonts w:eastAsia="Times New Roman" w:cs="Times New Roman" w:ascii="Times New Roman" w:hAnsi="Times New Roman"/>
          <w:b/>
          <w:bCs/>
          <w:u w:val="single"/>
          <w:lang w:eastAsia="pl-PL"/>
        </w:rPr>
        <w:t>zostanie obliczone w następujący sposób:</w:t>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rFonts w:ascii="Times New Roman" w:hAnsi="Times New Roman" w:eastAsia="Times New Roman" w:cs="Times New Roman"/>
          <w:lang w:eastAsia="pl-PL"/>
        </w:rPr>
      </w:pPr>
      <w:r>
        <w:rPr/>
        <w:t xml:space="preserve">       </w:t>
      </w:r>
      <w:r>
        <w:rPr>
          <w:rFonts w:eastAsia="Times New Roman" w:cs="Times New Roman" w:ascii="Times New Roman" w:hAnsi="Times New Roman"/>
          <w:lang w:eastAsia="pl-PL"/>
        </w:rPr>
        <w:t>Gwarancja: na podwozie min. 30 dni od dnia dostawy Na zabudowę min. 12 miesięcy od dnia dostawy.</w:t>
      </w:r>
    </w:p>
    <w:p>
      <w:pPr>
        <w:pStyle w:val="Normal"/>
        <w:spacing w:before="0" w:after="160"/>
        <w:ind w:left="720" w:hanging="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Gwarancja: </w:t>
      </w:r>
    </w:p>
    <w:p>
      <w:pPr>
        <w:pStyle w:val="Normal"/>
        <w:numPr>
          <w:ilvl w:val="1"/>
          <w:numId w:val="42"/>
        </w:numPr>
        <w:spacing w:before="0" w:after="16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t>Gwarancja na podwozie: 0,125 % za każdy dodatkowy dzień, jednak nie więcej niż 10 %</w:t>
      </w:r>
    </w:p>
    <w:p>
      <w:pPr>
        <w:pStyle w:val="Normal"/>
        <w:numPr>
          <w:ilvl w:val="1"/>
          <w:numId w:val="42"/>
        </w:numPr>
        <w:spacing w:before="0" w:after="16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Gwarancja na zabudowę: 1 % za każdy miesiąc, jednak nie więcej niż 10 % </w:t>
      </w:r>
    </w:p>
    <w:p>
      <w:pPr>
        <w:pStyle w:val="Normal"/>
        <w:spacing w:before="0" w:after="160"/>
        <w:ind w:left="1440" w:hanging="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160"/>
        <w:ind w:left="1080" w:hanging="0"/>
        <w:contextualSpacing/>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t xml:space="preserve">Przy obliczaniu punktacji w gwarancji: 1% - odpowiada 1 punktowi </w:t>
      </w:r>
    </w:p>
    <w:p>
      <w:pPr>
        <w:pStyle w:val="Normal"/>
        <w:spacing w:lineRule="auto" w:line="240" w:before="0" w:after="0"/>
        <w:rPr>
          <w:rFonts w:ascii="Times New Roman" w:hAnsi="Times New Roman" w:eastAsia="Times New Roman" w:cs="Times New Roman"/>
          <w:b/>
          <w:b/>
          <w:color w:val="FF0000"/>
          <w:sz w:val="12"/>
          <w:szCs w:val="12"/>
          <w:lang w:eastAsia="pl-PL"/>
        </w:rPr>
      </w:pPr>
      <w:r>
        <w:rPr>
          <w:rFonts w:eastAsia="Times New Roman" w:cs="Times New Roman" w:ascii="Times New Roman" w:hAnsi="Times New Roman"/>
          <w:b/>
          <w:color w:val="FF0000"/>
          <w:sz w:val="12"/>
          <w:szCs w:val="12"/>
          <w:lang w:eastAsia="pl-PL"/>
        </w:rPr>
      </w:r>
    </w:p>
    <w:p>
      <w:pPr>
        <w:pStyle w:val="Normal"/>
        <w:spacing w:lineRule="auto" w:line="240" w:before="0" w:after="0"/>
        <w:ind w:left="426" w:hanging="0"/>
        <w:rPr>
          <w:rFonts w:ascii="Times New Roman" w:hAnsi="Times New Roman" w:eastAsia="Times New Roman" w:cs="Times New Roman"/>
          <w:color w:val="FF0000"/>
          <w:sz w:val="24"/>
          <w:szCs w:val="24"/>
          <w:lang w:eastAsia="pl-PL"/>
        </w:rPr>
      </w:pPr>
      <w:r>
        <w:rPr>
          <w:rFonts w:eastAsia="Times New Roman" w:cs="Times New Roman" w:ascii="Times New Roman" w:hAnsi="Times New Roman"/>
          <w:b/>
          <w:color w:val="FF0000"/>
          <w:lang w:eastAsia="pl-PL"/>
        </w:rPr>
        <w:t xml:space="preserve">Łączna liczba punktów za ofertę = liczba punktów za cenę brutto (80%) +  liczba punktów za gwarancję (20%) </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bookmarkStart w:id="12" w:name="_Hlk55202907"/>
      <w:bookmarkStart w:id="13" w:name="_Hlk55202907"/>
      <w:bookmarkEnd w:id="13"/>
    </w:p>
    <w:p>
      <w:pPr>
        <w:pStyle w:val="Normal"/>
        <w:spacing w:lineRule="auto" w:line="240" w:before="0" w:after="0"/>
        <w:ind w:right="-108" w:hanging="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Ocenie będą podlegać wyłącznie oferty nie podlegające odrzuceniu.</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wybiera najkorzystniejszą ofertę na podstawie kryteriów oceny ofert określonych </w:t>
        <w:br/>
        <w:t xml:space="preserve">w pkt 1) tego ustępu. </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oferty otrzymały taką samą ocenę w kryterium o najwyższej wadze, Zamawiający wybiera ofertę z najniższą ceną.</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Wykonawcy, składając oferty dodatkowe, nie mogą oferować cen lub kosztów wyższych niż zaoferowane w uprzednio złożonych przez nich ofertach.</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wybiera najkorzystniejszą ofertę̨ w terminie związania ofertą określonym w SWZ.</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pacing w:lineRule="auto" w:line="240" w:before="0" w:after="0"/>
        <w:ind w:right="-108" w:hanging="0"/>
        <w:jc w:val="both"/>
        <w:rPr>
          <w:rFonts w:ascii="Times New Roman" w:hAnsi="Times New Roman" w:eastAsia="Calibri Light" w:cs="Times New Roman"/>
          <w:i/>
          <w:i/>
          <w:sz w:val="16"/>
          <w:szCs w:val="16"/>
        </w:rPr>
      </w:pPr>
      <w:r>
        <w:rPr>
          <w:rFonts w:eastAsia="Calibri Light" w:cs="Times New Roman" w:ascii="Times New Roman" w:hAnsi="Times New Roman"/>
          <w:i/>
          <w:sz w:val="16"/>
          <w:szCs w:val="16"/>
        </w:rPr>
      </w:r>
    </w:p>
    <w:p>
      <w:pPr>
        <w:pStyle w:val="Normal"/>
        <w:numPr>
          <w:ilvl w:val="0"/>
          <w:numId w:val="2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spacing w:lineRule="auto" w:line="240" w:before="0" w:after="0"/>
        <w:ind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16"/>
          <w:szCs w:val="16"/>
          <w:lang w:eastAsia="pl-PL"/>
        </w:rPr>
        <w:br/>
      </w:r>
      <w:bookmarkStart w:id="14" w:name="_Hlk62132603"/>
      <w:r>
        <w:rPr>
          <w:rFonts w:eastAsia="Times New Roman" w:cs="Times New Roman" w:ascii="Times New Roman" w:hAnsi="Times New Roman"/>
          <w:lang w:eastAsia="pl-PL"/>
        </w:rPr>
        <w:t xml:space="preserve">Projektowane postanowienia umowy </w:t>
      </w:r>
      <w:bookmarkEnd w:id="14"/>
      <w:r>
        <w:rPr>
          <w:rFonts w:eastAsia="Times New Roman" w:cs="Times New Roman" w:ascii="Times New Roman" w:hAnsi="Times New Roman"/>
          <w:lang w:eastAsia="pl-PL"/>
        </w:rPr>
        <w:t xml:space="preserve">zostały zawarte we wzorze umowy stanowiącym załącznik nr 3 do SWZ. </w:t>
      </w:r>
      <w:r>
        <w:rPr>
          <w:rFonts w:eastAsia="Times New Roman" w:cs="Times New Roman" w:ascii="Times New Roman" w:hAnsi="Times New Roman"/>
          <w:b/>
          <w:lang w:eastAsia="pl-PL"/>
        </w:rPr>
        <w:t>Złożenie oferty jest jednoznaczne z akceptacją przez wykonawcę projektowanych postanowień umowy.</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2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Zabezpieczenie należytego wykonania umowy </w:t>
      </w:r>
    </w:p>
    <w:p>
      <w:pPr>
        <w:pStyle w:val="Normal"/>
        <w:spacing w:lineRule="auto" w:line="240" w:before="0" w:after="0"/>
        <w:ind w:left="360" w:right="-108" w:hanging="0"/>
        <w:jc w:val="both"/>
        <w:rPr>
          <w:rFonts w:ascii="Times New Roman" w:hAnsi="Times New Roman" w:eastAsia="Times New Roman" w:cs="Times New Roman"/>
          <w:iCs/>
          <w:sz w:val="12"/>
          <w:szCs w:val="12"/>
          <w:lang w:eastAsia="pl-PL"/>
        </w:rPr>
      </w:pPr>
      <w:r>
        <w:rPr>
          <w:rFonts w:eastAsia="Times New Roman" w:cs="Times New Roman" w:ascii="Times New Roman" w:hAnsi="Times New Roman"/>
          <w:iCs/>
          <w:sz w:val="12"/>
          <w:szCs w:val="12"/>
          <w:lang w:eastAsia="pl-PL"/>
        </w:rPr>
      </w:r>
    </w:p>
    <w:p>
      <w:pPr>
        <w:pStyle w:val="Normal"/>
        <w:spacing w:lineRule="auto" w:line="240" w:before="0" w:after="0"/>
        <w:ind w:left="360"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nie wymaga wniesienia zabezpieczenia należytego wykonania umowy. </w:t>
      </w:r>
    </w:p>
    <w:p>
      <w:pPr>
        <w:pStyle w:val="Normal"/>
        <w:numPr>
          <w:ilvl w:val="0"/>
          <w:numId w:val="2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hd w:fill="E2EFD9" w:val="clear"/>
        </w:rPr>
        <w:t>Informacje o formalnościach, jakie muszą zostać dopełnione po wyborze oferty w celu zawarcia umowy w sprawie</w:t>
      </w:r>
      <w:r>
        <w:rPr>
          <w:rFonts w:eastAsia="Times New Roman" w:cs="Times New Roman" w:ascii="Times New Roman" w:hAnsi="Times New Roman"/>
          <w:b/>
        </w:rPr>
        <w:t xml:space="preserve"> zamówienia publicznego</w:t>
      </w:r>
    </w:p>
    <w:p>
      <w:pPr>
        <w:pStyle w:val="Normal"/>
        <w:spacing w:lineRule="auto" w:line="240" w:before="0" w:after="60"/>
        <w:ind w:left="360"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zawiera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umowę</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uwzględnieniem</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art.</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577</w:t>
      </w:r>
      <w:r>
        <w:rPr>
          <w:rFonts w:eastAsia="Times New Roman" w:cs="Times New Roman" w:ascii="Times New Roman" w:hAnsi="Times New Roman"/>
          <w:spacing w:val="-4"/>
          <w:lang w:eastAsia="pl-PL"/>
        </w:rPr>
        <w:t xml:space="preserve"> P</w:t>
      </w:r>
      <w:r>
        <w:rPr>
          <w:rFonts w:eastAsia="Times New Roman" w:cs="Times New Roman" w:ascii="Times New Roman" w:hAnsi="Times New Roman"/>
          <w:lang w:eastAsia="pl-PL"/>
        </w:rPr>
        <w:t>zp,</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terminie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nie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krótszym</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niż</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dnia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przesłania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zawiadomienia</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wyborze</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najkorzystniejszej</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zawiadomienie</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to</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zostało</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przesłane</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przy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użyciu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środków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komunikacji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elektronicznej,</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albo</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10</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zostało przesłane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inny sposób.</w:t>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może zawrzeć umowę w sprawie zamówienia publicznego przed upływem terminu, o którym mowa w ust. 1, jeżeli w postępowaniu o udzielenie zamówienia złożono tylko jedną</w:t>
      </w:r>
      <w:r>
        <w:rPr>
          <w:rFonts w:eastAsia="Times New Roman" w:cs="Times New Roman" w:ascii="Times New Roman" w:hAnsi="Times New Roman"/>
          <w:spacing w:val="-21"/>
          <w:lang w:eastAsia="pl-PL"/>
        </w:rPr>
        <w:t xml:space="preserve"> </w:t>
      </w:r>
      <w:r>
        <w:rPr>
          <w:rFonts w:eastAsia="Times New Roman" w:cs="Times New Roman" w:ascii="Times New Roman" w:hAnsi="Times New Roman"/>
          <w:lang w:eastAsia="pl-PL"/>
        </w:rPr>
        <w:t>ofertę.</w:t>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poinformuje wykonawcę, któremu zostanie udzielone zamówienie, o miejscu i terminie zawarcia umowy.</w:t>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złożonej oferty.</w:t>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przed zawarciem umowy:</w:t>
      </w:r>
    </w:p>
    <w:p>
      <w:pPr>
        <w:pStyle w:val="Normal"/>
        <w:numPr>
          <w:ilvl w:val="1"/>
          <w:numId w:val="92"/>
        </w:numPr>
        <w:spacing w:lineRule="auto" w:line="240" w:before="0" w:after="0"/>
        <w:ind w:left="567" w:hanging="141"/>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poda wszelkie informacje niezbędne do wypełnienia treści umowy na wezwanie zamawiającego,</w:t>
      </w:r>
    </w:p>
    <w:p>
      <w:pPr>
        <w:pStyle w:val="Normal"/>
        <w:numPr>
          <w:ilvl w:val="0"/>
          <w:numId w:val="30"/>
        </w:numPr>
        <w:spacing w:lineRule="auto" w:line="240" w:before="0" w:after="6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Normal"/>
        <w:numPr>
          <w:ilvl w:val="0"/>
          <w:numId w:val="30"/>
        </w:numPr>
        <w:spacing w:lineRule="auto" w:line="240" w:before="0" w:after="6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Normal"/>
        <w:numPr>
          <w:ilvl w:val="0"/>
          <w:numId w:val="30"/>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Wykonawca,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którego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oferta</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została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wybrana</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jako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najkorzystniejsza,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uchyla się̨</w:t>
      </w:r>
      <w:r>
        <w:rPr>
          <w:rFonts w:eastAsia="Times New Roman" w:cs="Times New Roman" w:ascii="Times New Roman" w:hAnsi="Times New Roman"/>
          <w:spacing w:val="34"/>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zawarcia</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umowy</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30"/>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Zamawiający</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może dokonać́</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ponownego</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badania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i</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oceny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spośród</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pozostałych</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postępowaniu Wykonawców albo unieważnić́ postępowanie.</w:t>
      </w:r>
    </w:p>
    <w:p>
      <w:pPr>
        <w:pStyle w:val="Normal"/>
        <w:spacing w:lineRule="auto" w:line="240" w:before="0" w:after="0"/>
        <w:ind w:left="4608" w:right="-108" w:firstLine="348"/>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 xml:space="preserve">podpis Zamawiającego </w:t>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Zapisy Specyfikacji Warunków Zamówienia  (</w:t>
      </w:r>
      <w:r>
        <w:rPr>
          <w:rFonts w:eastAsia="Times New Roman" w:cs="Times New Roman" w:ascii="Times New Roman" w:hAnsi="Times New Roman"/>
          <w:sz w:val="24"/>
          <w:szCs w:val="24"/>
          <w:lang w:eastAsia="pl-PL"/>
        </w:rPr>
        <w:t>ZO.OS.22.2022)</w:t>
      </w:r>
      <w:r>
        <w:rPr>
          <w:rFonts w:eastAsia="Times New Roman" w:cs="Times New Roman" w:ascii="Times New Roman" w:hAnsi="Times New Roman"/>
          <w:lang w:eastAsia="pl-PL"/>
        </w:rPr>
        <w:t>wraz z załącznikami stanowiącymi jej integralną część) tj.: Załącznik nr 1 do SWZ</w:t>
        <w:tab/>
        <w:t>– formularz oferty wykonawcy, którego wzór stanowi załącznik nr 1 do umowy</w:t>
      </w:r>
    </w:p>
    <w:p>
      <w:pPr>
        <w:pStyle w:val="Normal"/>
        <w:tabs>
          <w:tab w:val="clear" w:pos="708"/>
          <w:tab w:val="left" w:pos="2268" w:leader="none"/>
        </w:tabs>
        <w:spacing w:lineRule="auto" w:line="240" w:before="0" w:after="0"/>
        <w:ind w:left="-284" w:firstLine="284"/>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Załącznik 1a do SWZ- opis przedmiotu zamówienia/ załącznik nr 1a do umowy</w:t>
      </w:r>
    </w:p>
    <w:p>
      <w:pPr>
        <w:pStyle w:val="Normal"/>
        <w:tabs>
          <w:tab w:val="clear" w:pos="708"/>
          <w:tab w:val="left" w:pos="2268" w:leader="none"/>
          <w:tab w:val="left" w:pos="2835" w:leader="none"/>
        </w:tabs>
        <w:spacing w:lineRule="auto" w:line="240" w:before="0" w:after="0"/>
        <w:ind w:left="-284" w:firstLine="284"/>
        <w:rPr>
          <w:rFonts w:ascii="Times New Roman" w:hAnsi="Times New Roman" w:eastAsia="Times New Roman" w:cs="Times New Roman"/>
          <w:lang w:eastAsia="pl-PL"/>
        </w:rPr>
      </w:pPr>
      <w:r>
        <w:rPr>
          <w:rFonts w:eastAsia="Times New Roman" w:cs="Times New Roman" w:ascii="Times New Roman" w:hAnsi="Times New Roman"/>
          <w:lang w:eastAsia="pl-PL"/>
        </w:rPr>
        <w:t>Załącznik nr 2 do SWZ</w:t>
        <w:tab/>
        <w:t>– oświadczenie o braku podstaw do wykluczenia,</w:t>
      </w:r>
    </w:p>
    <w:p>
      <w:pPr>
        <w:pStyle w:val="Normal"/>
        <w:tabs>
          <w:tab w:val="clear" w:pos="708"/>
          <w:tab w:val="left" w:pos="2268" w:leader="none"/>
          <w:tab w:val="left" w:pos="2835" w:leader="none"/>
        </w:tabs>
        <w:spacing w:lineRule="auto" w:line="240" w:before="0" w:after="0"/>
        <w:ind w:left="-284" w:firstLine="284"/>
        <w:rPr>
          <w:rFonts w:ascii="Times New Roman" w:hAnsi="Times New Roman" w:eastAsia="Times New Roman" w:cs="Times New Roman"/>
          <w:lang w:eastAsia="pl-PL"/>
        </w:rPr>
      </w:pPr>
      <w:r>
        <w:rPr>
          <w:rFonts w:eastAsia="Times New Roman" w:cs="Times New Roman" w:ascii="Times New Roman" w:hAnsi="Times New Roman"/>
          <w:lang w:eastAsia="pl-PL"/>
        </w:rPr>
        <w:t>Załącznik nr 3 do SWZ</w:t>
        <w:tab/>
        <w:t xml:space="preserve">– </w:t>
      </w:r>
      <w:bookmarkStart w:id="15" w:name="_Hlk79388398"/>
      <w:r>
        <w:rPr>
          <w:rFonts w:eastAsia="Calibri" w:cs="Times New Roman" w:ascii="Times New Roman" w:hAnsi="Times New Roman"/>
          <w:bCs/>
        </w:rPr>
        <w:t>projektowane postanowienia umowy</w:t>
      </w:r>
      <w:r>
        <w:rPr>
          <w:rFonts w:eastAsia="Calibri" w:cs="Times New Roman" w:ascii="Times New Roman" w:hAnsi="Times New Roman"/>
          <w:b/>
        </w:rPr>
        <w:t xml:space="preserve"> </w:t>
      </w:r>
      <w:bookmarkEnd w:id="15"/>
      <w:r>
        <w:rPr>
          <w:rFonts w:eastAsia="Calibri" w:cs="Times New Roman" w:ascii="Times New Roman" w:hAnsi="Times New Roman"/>
          <w:bCs/>
        </w:rPr>
        <w:t>(</w:t>
      </w:r>
      <w:r>
        <w:rPr>
          <w:rFonts w:eastAsia="Times New Roman" w:cs="Times New Roman" w:ascii="Times New Roman" w:hAnsi="Times New Roman"/>
          <w:lang w:eastAsia="pl-PL"/>
        </w:rPr>
        <w:t>wzór umow</w:t>
      </w:r>
      <w:bookmarkStart w:id="16" w:name="_Toc6901402"/>
      <w:r>
        <w:rPr>
          <w:rFonts w:eastAsia="Times New Roman" w:cs="Times New Roman" w:ascii="Times New Roman" w:hAnsi="Times New Roman"/>
          <w:lang w:eastAsia="pl-PL"/>
        </w:rPr>
        <w:t xml:space="preserve">y) </w:t>
      </w:r>
    </w:p>
    <w:p>
      <w:pPr>
        <w:pStyle w:val="Normal"/>
        <w:keepNext w:val="true"/>
        <w:keepLines/>
        <w:numPr>
          <w:ilvl w:val="0"/>
          <w:numId w:val="0"/>
        </w:numPr>
        <w:spacing w:lineRule="auto" w:line="240" w:before="480" w:after="0"/>
        <w:ind w:left="0" w:hanging="0"/>
        <w:jc w:val="right"/>
        <w:outlineLvl w:val="0"/>
        <w:rPr>
          <w:rFonts w:ascii="Times New Roman" w:hAnsi="Times New Roman" w:eastAsia="Calibri Light" w:cs="Calibri Light"/>
          <w:b/>
          <w:b/>
          <w:bCs/>
          <w:color w:val="2F5496" w:themeColor="accent1" w:themeShade="bf"/>
          <w:sz w:val="28"/>
          <w:szCs w:val="28"/>
          <w:lang w:eastAsia="pl-PL"/>
        </w:rPr>
      </w:pPr>
      <w:r>
        <w:rPr>
          <w:rFonts w:eastAsia="Calibri Light" w:cs="Calibri Light" w:ascii="Times New Roman" w:hAnsi="Times New Roman"/>
          <w:b/>
          <w:bCs/>
          <w:sz w:val="24"/>
          <w:szCs w:val="24"/>
          <w:lang w:eastAsia="pl-PL"/>
        </w:rPr>
        <w:t>Załącznik nr 1 do SWZ</w:t>
      </w:r>
      <w:bookmarkEnd w:id="16"/>
      <w:r>
        <w:rPr>
          <w:rFonts w:eastAsia="Calibri Light" w:cs="Calibri Light" w:ascii="Times New Roman" w:hAnsi="Times New Roman"/>
          <w:b/>
          <w:bCs/>
          <w:sz w:val="24"/>
          <w:szCs w:val="24"/>
          <w:lang w:eastAsia="pl-PL"/>
        </w:rPr>
        <w:t>/ załącznik nr 1 do umowy</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2F2F2"/>
        <w:spacing w:lineRule="auto" w:line="276"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b/>
      </w:r>
      <w:r>
        <w:rPr>
          <w:rFonts w:eastAsia="Times New Roman" w:cs="Times New Roman" w:ascii="Times New Roman" w:hAnsi="Times New Roman"/>
          <w:lang w:eastAsia="pl-PL"/>
        </w:rPr>
        <w:t>Nazwa i adres siedziby Wykonawcy: ........................................................................................................</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NIP</w:t>
        <w:tab/>
        <w:tab/>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telefonu</w:t>
        <w:tab/>
        <w:t>...................................................</w:t>
      </w:r>
    </w:p>
    <w:p>
      <w:pPr>
        <w:pStyle w:val="Normal"/>
        <w:shd w:val="clear" w:color="auto" w:fill="F2F2F2"/>
        <w:spacing w:lineRule="auto" w:line="276" w:before="0" w:after="0"/>
        <w:ind w:left="1418" w:hanging="1418"/>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E-mail</w:t>
        <w:tab/>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KRS/CEiDG</w:t>
        <w:tab/>
      </w:r>
      <w:r>
        <w:rPr>
          <w:rFonts w:eastAsia="Times New Roman" w:cs="Times New Roman" w:ascii="Times New Roman" w:hAnsi="Times New Roman"/>
          <w:lang w:val="de-DE" w:eastAsia="pl-PL"/>
        </w:rPr>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Dane osoby upoważnionej do kontaktowania się z Zamawiającym: </w:t>
      </w:r>
      <w:r>
        <w:rPr>
          <w:rFonts w:eastAsia="Times New Roman" w:cs="Times New Roman" w:ascii="Times New Roman" w:hAnsi="Times New Roman"/>
          <w:lang w:val="de-DE" w:eastAsia="pl-PL"/>
        </w:rPr>
        <w:t>.........................................................</w:t>
      </w:r>
    </w:p>
    <w:p>
      <w:pPr>
        <w:pStyle w:val="Normal"/>
        <w:spacing w:lineRule="auto" w:line="240" w:before="0" w:after="120"/>
        <w:rPr>
          <w:rFonts w:ascii="Times New Roman" w:hAnsi="Times New Roman" w:eastAsia="Times New Roman" w:cs="Times New Roman"/>
          <w:sz w:val="28"/>
          <w:szCs w:val="28"/>
          <w:lang w:eastAsia="pl-PL"/>
        </w:rPr>
      </w:pPr>
      <w:r>
        <w:rPr>
          <w:rFonts w:eastAsia="Times New Roman" w:cs="Times New Roman" w:ascii="Times New Roman" w:hAnsi="Times New Roman"/>
          <w:sz w:val="28"/>
          <w:szCs w:val="28"/>
          <w:lang w:eastAsia="pl-PL"/>
        </w:rPr>
      </w:r>
    </w:p>
    <w:p>
      <w:pPr>
        <w:pStyle w:val="ListParagraph"/>
        <w:numPr>
          <w:ilvl w:val="4"/>
          <w:numId w:val="93"/>
        </w:numPr>
        <w:tabs>
          <w:tab w:val="clear" w:pos="708"/>
          <w:tab w:val="left" w:pos="284" w:leader="none"/>
        </w:tabs>
        <w:suppressAutoHyphens w:val="false"/>
        <w:ind w:left="284" w:hanging="284"/>
        <w:jc w:val="both"/>
        <w:rPr>
          <w:rFonts w:eastAsia="Times New Roman,Bold"/>
          <w:sz w:val="22"/>
          <w:szCs w:val="22"/>
        </w:rPr>
      </w:pPr>
      <w:r>
        <w:rPr>
          <w:sz w:val="22"/>
          <w:szCs w:val="22"/>
        </w:rPr>
        <w:t xml:space="preserve">Oferujemy </w:t>
      </w:r>
      <w:bookmarkStart w:id="17" w:name="_Hlk8815720"/>
      <w:r>
        <w:rPr>
          <w:rFonts w:eastAsia="Times New Roman,Bold"/>
          <w:sz w:val="22"/>
          <w:szCs w:val="22"/>
        </w:rPr>
        <w:t xml:space="preserve">sprzedaż wraz z dostarczeniem </w:t>
      </w:r>
      <w:r>
        <w:rPr>
          <w:b/>
          <w:bCs/>
        </w:rPr>
        <w:t xml:space="preserve"> </w:t>
      </w:r>
      <w:r>
        <w:rPr>
          <w:rFonts w:eastAsia="Times New Roman,Bold"/>
          <w:sz w:val="22"/>
          <w:szCs w:val="22"/>
        </w:rPr>
        <w:t xml:space="preserve">na warunkach i zasadach określonych w SWZ po łącznej cenie </w:t>
      </w:r>
    </w:p>
    <w:p>
      <w:pPr>
        <w:pStyle w:val="Normal"/>
        <w:jc w:val="both"/>
        <w:rPr>
          <w:sz w:val="6"/>
          <w:szCs w:val="6"/>
        </w:rPr>
      </w:pPr>
      <w:r>
        <w:rPr>
          <w:sz w:val="6"/>
          <w:szCs w:val="6"/>
        </w:rPr>
      </w:r>
    </w:p>
    <w:p>
      <w:pPr>
        <w:pStyle w:val="Normal"/>
        <w:ind w:left="284" w:hanging="0"/>
        <w:rPr>
          <w:b/>
          <w:b/>
          <w:u w:val="single"/>
        </w:rPr>
      </w:pPr>
      <w:r>
        <w:rPr>
          <w:b/>
          <w:u w:val="single"/>
        </w:rPr>
        <w:t>Zadanie nr 1*</w:t>
      </w:r>
      <w:r>
        <w:rPr/>
        <w:t xml:space="preserve"> Samochód z</w:t>
      </w:r>
      <w:r>
        <w:rPr>
          <w:b/>
          <w:u w:val="single"/>
        </w:rPr>
        <w:t xml:space="preserve"> </w:t>
      </w:r>
      <w:r>
        <w:rPr>
          <w:b/>
          <w:bCs/>
        </w:rPr>
        <w:t>beczką asenizacyjną o pojemności nie mniejszej lub równej 15 m3 i nie większej lub równej 20 m3</w:t>
      </w:r>
    </w:p>
    <w:p>
      <w:pPr>
        <w:pStyle w:val="Normal"/>
        <w:spacing w:before="0" w:after="120"/>
        <w:ind w:left="284" w:hanging="0"/>
        <w:rPr>
          <w:b/>
          <w:b/>
        </w:rPr>
      </w:pPr>
      <w:r>
        <w:rPr>
          <w:b/>
        </w:rPr>
        <w:t>Cena brutto: ............................................................ zł</w:t>
      </w:r>
    </w:p>
    <w:p>
      <w:pPr>
        <w:pStyle w:val="Normal"/>
        <w:spacing w:before="0" w:after="120"/>
        <w:ind w:left="284" w:hanging="0"/>
        <w:rPr>
          <w:b/>
          <w:b/>
        </w:rPr>
      </w:pPr>
      <w:r>
        <w:rPr>
          <w:b/>
        </w:rPr>
        <w:t>(cena brutto słownie: .................................................................................................................)</w:t>
      </w:r>
    </w:p>
    <w:p>
      <w:pPr>
        <w:pStyle w:val="Tekstpodstawowy21"/>
        <w:spacing w:before="0" w:after="160"/>
        <w:ind w:left="284" w:hanging="0"/>
        <w:jc w:val="both"/>
        <w:rPr>
          <w:b/>
          <w:b/>
        </w:rPr>
      </w:pPr>
      <w:r>
        <w:rPr>
          <w:b/>
          <w:lang w:eastAsia="pl-PL"/>
        </w:rPr>
        <w:t xml:space="preserve">Okres gwarancji na podwozie : ………… dni </w:t>
      </w:r>
      <w:r>
        <w:rPr>
          <w:b/>
        </w:rPr>
        <w:t>(min. 30 dni)</w:t>
      </w:r>
      <w:r>
        <w:rPr>
          <w:b/>
          <w:lang w:eastAsia="pl-PL"/>
        </w:rPr>
        <w:t xml:space="preserve">                                                                               </w:t>
      </w:r>
    </w:p>
    <w:p>
      <w:pPr>
        <w:pStyle w:val="Tekstpodstawowy21"/>
        <w:spacing w:before="0" w:after="160"/>
        <w:ind w:left="284" w:hanging="0"/>
        <w:jc w:val="both"/>
        <w:rPr>
          <w:b/>
          <w:b/>
        </w:rPr>
      </w:pPr>
      <w:r>
        <w:rPr>
          <w:b/>
          <w:lang w:eastAsia="pl-PL"/>
        </w:rPr>
        <w:t xml:space="preserve">Okres gwarancji na zabudowę : ………… miesięcy </w:t>
      </w:r>
      <w:r>
        <w:rPr>
          <w:b/>
        </w:rPr>
        <w:t>(min. 12 miesięcy)</w:t>
      </w:r>
      <w:r>
        <w:rPr>
          <w:b/>
          <w:lang w:eastAsia="pl-PL"/>
        </w:rPr>
        <w:t xml:space="preserve">                                                                               </w:t>
      </w:r>
    </w:p>
    <w:p>
      <w:pPr>
        <w:pStyle w:val="Normal"/>
        <w:ind w:left="284" w:hanging="0"/>
        <w:jc w:val="both"/>
        <w:rPr>
          <w:b/>
          <w:b/>
        </w:rPr>
      </w:pPr>
      <w:r>
        <w:rPr>
          <w:b/>
        </w:rPr>
        <w:t>Termin realizacji zamówienia wynosi do 14 dni (kalendarzowych) od daty podpisania umowy.</w:t>
      </w:r>
    </w:p>
    <w:p>
      <w:pPr>
        <w:pStyle w:val="Normal"/>
        <w:ind w:firstLine="284"/>
        <w:jc w:val="both"/>
        <w:rPr>
          <w:b/>
          <w:b/>
        </w:rPr>
      </w:pPr>
      <w:r>
        <w:rPr>
          <w:b/>
        </w:rPr>
        <w:t>Oferowana marka i model samochodu oraz pojemność beczki ……………………………………………..</w:t>
      </w:r>
    </w:p>
    <w:p>
      <w:pPr>
        <w:pStyle w:val="Normal"/>
        <w:ind w:firstLine="284"/>
        <w:jc w:val="both"/>
        <w:rPr>
          <w:b/>
          <w:b/>
        </w:rPr>
      </w:pPr>
      <w:r>
        <w:rPr>
          <w:b/>
        </w:rPr>
        <w:t>NR VIN Nadwozia …………………………………………………………………………………………………………..</w:t>
      </w:r>
    </w:p>
    <w:p>
      <w:pPr>
        <w:pStyle w:val="Normal"/>
        <w:jc w:val="both"/>
        <w:rPr>
          <w:b/>
          <w:b/>
        </w:rPr>
      </w:pPr>
      <w:r>
        <w:rPr>
          <w:b/>
        </w:rPr>
      </w:r>
    </w:p>
    <w:p>
      <w:pPr>
        <w:pStyle w:val="Normal"/>
        <w:ind w:left="284" w:hanging="0"/>
        <w:jc w:val="both"/>
        <w:rPr>
          <w:b/>
          <w:b/>
          <w:lang w:eastAsia="ar-SA"/>
        </w:rPr>
      </w:pPr>
      <w:r>
        <w:rPr>
          <w:lang w:eastAsia="ar-SA"/>
        </w:rPr>
        <w:t xml:space="preserve">Czy wybór oferty będzie prowadził do powstania obowiązku podatkowego po stronie Zamawiającego  </w:t>
      </w:r>
      <w:r>
        <w:rPr>
          <w:b/>
          <w:lang w:eastAsia="ar-SA"/>
        </w:rPr>
        <w:t>TAK/NIE*</w:t>
      </w:r>
      <w:r>
        <w:rPr>
          <w:lang w:eastAsia="ar-SA"/>
        </w:rPr>
        <w:t>.</w:t>
      </w:r>
    </w:p>
    <w:p>
      <w:pPr>
        <w:pStyle w:val="Normal"/>
        <w:ind w:left="284" w:firstLine="284"/>
        <w:jc w:val="both"/>
        <w:rPr>
          <w:lang w:eastAsia="ar-SA"/>
        </w:rPr>
      </w:pPr>
      <w:r>
        <w:rPr>
          <w:lang w:eastAsia="ar-SA"/>
        </w:rPr>
        <w:t xml:space="preserve">Jeżeli Wykonawca wskaże </w:t>
      </w:r>
      <w:r>
        <w:rPr>
          <w:b/>
          <w:lang w:eastAsia="ar-SA"/>
        </w:rPr>
        <w:t>TAK</w:t>
      </w:r>
      <w:r>
        <w:rPr>
          <w:lang w:eastAsia="ar-SA"/>
        </w:rPr>
        <w:t xml:space="preserve"> (powstanie obowiązek podatkowy u Zamawiającego) Wykonawca wskazuje rodzaj towaru/usługi której ten obowiązek dotyczy ……………………………. (nazwa towaru/usługi).</w:t>
      </w:r>
    </w:p>
    <w:p>
      <w:pPr>
        <w:pStyle w:val="Normal"/>
        <w:ind w:left="284" w:hanging="0"/>
        <w:jc w:val="both"/>
        <w:rPr>
          <w:lang w:eastAsia="ar-SA"/>
        </w:rPr>
      </w:pPr>
      <w:r>
        <w:rPr>
          <w:lang w:eastAsia="ar-SA"/>
        </w:rPr>
        <w:t>Cena netto (bez podatku VAT) ……………. (</w:t>
      </w:r>
      <w:r>
        <w:rPr>
          <w:b/>
          <w:lang w:eastAsia="ar-SA"/>
        </w:rPr>
        <w:t>Uwaga!</w:t>
      </w:r>
      <w:r>
        <w:rPr>
          <w:lang w:eastAsia="ar-SA"/>
        </w:rPr>
        <w:t xml:space="preserve"> Dotyczy tylko dostaw/usług dla których obowiązek podatkowy przechodzi na Zamawiającego);</w:t>
      </w:r>
    </w:p>
    <w:p>
      <w:pPr>
        <w:pStyle w:val="Normal"/>
        <w:ind w:left="284" w:firstLine="284"/>
        <w:jc w:val="both"/>
        <w:rPr>
          <w:sz w:val="16"/>
          <w:szCs w:val="16"/>
          <w:lang w:eastAsia="ar-SA"/>
        </w:rPr>
      </w:pPr>
      <w:r>
        <w:rPr>
          <w:sz w:val="16"/>
          <w:szCs w:val="16"/>
          <w:lang w:eastAsia="ar-SA"/>
        </w:rPr>
        <w:t>*Niepotrzebne skreślić</w:t>
      </w:r>
      <w:bookmarkStart w:id="18" w:name="_Hlk93906665"/>
      <w:bookmarkStart w:id="19" w:name="_Hlk64270957"/>
      <w:bookmarkEnd w:id="17"/>
      <w:bookmarkEnd w:id="18"/>
      <w:bookmarkEnd w:id="19"/>
    </w:p>
    <w:p>
      <w:pPr>
        <w:pStyle w:val="Normal"/>
        <w:spacing w:before="0" w:after="160"/>
        <w:contextualSpacing/>
        <w:rPr/>
      </w:pPr>
      <w:r>
        <w:rPr>
          <w:b/>
          <w:u w:val="single"/>
        </w:rPr>
        <w:t xml:space="preserve">Zadanie nr 2*  </w:t>
      </w:r>
      <w:r>
        <w:rPr/>
        <w:t xml:space="preserve">Samochód  z </w:t>
      </w:r>
      <w:r>
        <w:rPr>
          <w:b/>
          <w:bCs/>
        </w:rPr>
        <w:t xml:space="preserve">beczką asenizacyjną o pojemności </w:t>
      </w:r>
      <w:r>
        <w:rPr/>
        <w:t>nie mniejszej lub równej  10 m3 i nie większej lub równej 12 m3</w:t>
      </w:r>
    </w:p>
    <w:p>
      <w:pPr>
        <w:pStyle w:val="Normal"/>
        <w:spacing w:before="0" w:after="120"/>
        <w:ind w:left="284" w:hanging="0"/>
        <w:rPr>
          <w:b/>
          <w:b/>
        </w:rPr>
      </w:pPr>
      <w:r>
        <w:rPr>
          <w:b/>
        </w:rPr>
        <w:t>Cena brutto: ............................................................ zł</w:t>
      </w:r>
    </w:p>
    <w:p>
      <w:pPr>
        <w:pStyle w:val="Normal"/>
        <w:spacing w:before="0" w:after="120"/>
        <w:ind w:left="284" w:hanging="0"/>
        <w:rPr>
          <w:b/>
          <w:b/>
        </w:rPr>
      </w:pPr>
      <w:r>
        <w:rPr>
          <w:b/>
        </w:rPr>
        <w:t>(cena brutto słownie: ...............................................................................................................)</w:t>
      </w:r>
    </w:p>
    <w:p>
      <w:pPr>
        <w:pStyle w:val="Tekstpodstawowy21"/>
        <w:spacing w:before="0" w:after="160"/>
        <w:ind w:left="284" w:hanging="0"/>
        <w:jc w:val="both"/>
        <w:rPr>
          <w:b/>
          <w:b/>
        </w:rPr>
      </w:pPr>
      <w:r>
        <w:rPr>
          <w:b/>
          <w:lang w:eastAsia="pl-PL"/>
        </w:rPr>
        <w:t xml:space="preserve">Okres gwarancji na podwozie : ………… dni </w:t>
      </w:r>
      <w:r>
        <w:rPr>
          <w:b/>
        </w:rPr>
        <w:t>(min. 30 dni)</w:t>
      </w:r>
      <w:r>
        <w:rPr>
          <w:b/>
          <w:lang w:eastAsia="pl-PL"/>
        </w:rPr>
        <w:t xml:space="preserve">                                                                               </w:t>
      </w:r>
    </w:p>
    <w:p>
      <w:pPr>
        <w:pStyle w:val="Tekstpodstawowy21"/>
        <w:spacing w:before="0" w:after="160"/>
        <w:ind w:left="284" w:hanging="0"/>
        <w:jc w:val="both"/>
        <w:rPr>
          <w:b/>
          <w:b/>
        </w:rPr>
      </w:pPr>
      <w:r>
        <w:rPr>
          <w:b/>
          <w:lang w:eastAsia="pl-PL"/>
        </w:rPr>
        <w:t xml:space="preserve">Okres gwarancji na zabudowę : ………… miesięcy </w:t>
      </w:r>
      <w:r>
        <w:rPr>
          <w:b/>
        </w:rPr>
        <w:t>(min. 12 miesięcy)</w:t>
      </w:r>
      <w:r>
        <w:rPr>
          <w:b/>
          <w:lang w:eastAsia="pl-PL"/>
        </w:rPr>
        <w:t xml:space="preserve">                                                                               </w:t>
      </w:r>
    </w:p>
    <w:p>
      <w:pPr>
        <w:pStyle w:val="Normal"/>
        <w:ind w:firstLine="284"/>
        <w:jc w:val="both"/>
        <w:rPr>
          <w:b/>
          <w:b/>
        </w:rPr>
      </w:pPr>
      <w:r>
        <w:rPr>
          <w:b/>
        </w:rPr>
        <w:t>Oferowana marka i model samochodu  oraz pojemność beczki ………………………………………</w:t>
      </w:r>
    </w:p>
    <w:p>
      <w:pPr>
        <w:pStyle w:val="Normal"/>
        <w:ind w:firstLine="284"/>
        <w:jc w:val="both"/>
        <w:rPr>
          <w:b/>
          <w:b/>
        </w:rPr>
      </w:pPr>
      <w:r>
        <w:rPr>
          <w:b/>
        </w:rPr>
        <w:t>NR VIN Nadwozia …………………………………………………………………………………………………………..</w:t>
      </w:r>
    </w:p>
    <w:p>
      <w:pPr>
        <w:pStyle w:val="Normal"/>
        <w:ind w:firstLine="284"/>
        <w:jc w:val="both"/>
        <w:rPr>
          <w:b/>
          <w:b/>
        </w:rPr>
      </w:pPr>
      <w:r>
        <w:rPr>
          <w:b/>
        </w:rPr>
      </w:r>
    </w:p>
    <w:p>
      <w:pPr>
        <w:pStyle w:val="Normal"/>
        <w:ind w:left="284" w:hanging="0"/>
        <w:jc w:val="both"/>
        <w:rPr>
          <w:b/>
          <w:b/>
        </w:rPr>
      </w:pPr>
      <w:r>
        <w:rPr>
          <w:b/>
        </w:rPr>
        <w:t>Termin realizacji zamówienia wynosi do 14 dni (kalendarzowych) od daty podpisania umowy.</w:t>
      </w:r>
    </w:p>
    <w:p>
      <w:pPr>
        <w:pStyle w:val="Normal"/>
        <w:ind w:left="284" w:hanging="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Czy wybór oferty będzie prowadził do powstania obowiązku podatkowego po stronie Zamawiającego  </w:t>
      </w:r>
      <w:r>
        <w:rPr>
          <w:rFonts w:cs="Times New Roman" w:ascii="Times New Roman" w:hAnsi="Times New Roman"/>
          <w:b/>
          <w:sz w:val="24"/>
          <w:szCs w:val="24"/>
          <w:lang w:eastAsia="ar-SA"/>
        </w:rPr>
        <w:t>TAK/NIE*</w:t>
      </w:r>
      <w:r>
        <w:rPr>
          <w:rFonts w:cs="Times New Roman" w:ascii="Times New Roman" w:hAnsi="Times New Roman"/>
          <w:sz w:val="24"/>
          <w:szCs w:val="24"/>
          <w:lang w:eastAsia="ar-SA"/>
        </w:rPr>
        <w:t>.</w:t>
      </w:r>
    </w:p>
    <w:p>
      <w:pPr>
        <w:pStyle w:val="Normal"/>
        <w:ind w:left="284" w:hanging="0"/>
        <w:jc w:val="both"/>
        <w:rPr>
          <w:rFonts w:ascii="Times New Roman" w:hAnsi="Times New Roman" w:cs="Times New Roman"/>
          <w:b/>
          <w:b/>
          <w:sz w:val="24"/>
          <w:szCs w:val="24"/>
          <w:lang w:eastAsia="ar-SA"/>
        </w:rPr>
      </w:pPr>
      <w:r>
        <w:rPr>
          <w:rFonts w:cs="Times New Roman" w:ascii="Times New Roman" w:hAnsi="Times New Roman"/>
          <w:b/>
          <w:sz w:val="24"/>
          <w:szCs w:val="24"/>
          <w:lang w:eastAsia="ar-SA"/>
        </w:rPr>
      </w:r>
    </w:p>
    <w:p>
      <w:pPr>
        <w:pStyle w:val="Normal"/>
        <w:ind w:left="284"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Jeżeli Wykonawca wskaże </w:t>
      </w:r>
      <w:r>
        <w:rPr>
          <w:rFonts w:cs="Times New Roman" w:ascii="Times New Roman" w:hAnsi="Times New Roman"/>
          <w:b/>
          <w:sz w:val="24"/>
          <w:szCs w:val="24"/>
          <w:lang w:eastAsia="ar-SA"/>
        </w:rPr>
        <w:t>TAK</w:t>
      </w:r>
      <w:r>
        <w:rPr>
          <w:rFonts w:cs="Times New Roman" w:ascii="Times New Roman" w:hAnsi="Times New Roman"/>
          <w:sz w:val="24"/>
          <w:szCs w:val="24"/>
          <w:lang w:eastAsia="ar-SA"/>
        </w:rPr>
        <w:t xml:space="preserve"> (powstanie obowiązek podatkowy u Zamawiającego) Wykonawca wskazuje rodzaj towaru/usługi której ten obowiązek dotyczy ……………</w:t>
      </w:r>
    </w:p>
    <w:p>
      <w:pPr>
        <w:pStyle w:val="Normal"/>
        <w:ind w:left="284"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t>………………</w:t>
      </w:r>
      <w:r>
        <w:rPr>
          <w:rFonts w:cs="Times New Roman" w:ascii="Times New Roman" w:hAnsi="Times New Roman"/>
          <w:sz w:val="24"/>
          <w:szCs w:val="24"/>
          <w:lang w:eastAsia="ar-SA"/>
        </w:rPr>
        <w:t>. (nazwa towaru/usługi).</w:t>
      </w:r>
    </w:p>
    <w:p>
      <w:pPr>
        <w:pStyle w:val="Normal"/>
        <w:ind w:left="284" w:hanging="0"/>
        <w:jc w:val="both"/>
        <w:rPr>
          <w:rFonts w:ascii="Times New Roman" w:hAnsi="Times New Roman" w:cs="Times New Roman"/>
          <w:sz w:val="24"/>
          <w:szCs w:val="24"/>
          <w:lang w:eastAsia="ar-SA"/>
        </w:rPr>
      </w:pPr>
      <w:r>
        <w:rPr>
          <w:rFonts w:cs="Times New Roman" w:ascii="Times New Roman" w:hAnsi="Times New Roman"/>
          <w:sz w:val="24"/>
          <w:szCs w:val="24"/>
          <w:lang w:eastAsia="ar-SA"/>
        </w:rPr>
        <w:t>Cena netto (bez podatku VAT) ……………. (</w:t>
      </w:r>
      <w:r>
        <w:rPr>
          <w:rFonts w:cs="Times New Roman" w:ascii="Times New Roman" w:hAnsi="Times New Roman"/>
          <w:b/>
          <w:sz w:val="24"/>
          <w:szCs w:val="24"/>
          <w:lang w:eastAsia="ar-SA"/>
        </w:rPr>
        <w:t>Uwaga!</w:t>
      </w:r>
      <w:r>
        <w:rPr>
          <w:rFonts w:cs="Times New Roman" w:ascii="Times New Roman" w:hAnsi="Times New Roman"/>
          <w:sz w:val="24"/>
          <w:szCs w:val="24"/>
          <w:lang w:eastAsia="ar-SA"/>
        </w:rPr>
        <w:t xml:space="preserve"> Dotyczy tylko dostaw/usług dla których obowiązek podatkowy przechodzi na Zamawiającego);</w:t>
      </w:r>
    </w:p>
    <w:p>
      <w:pPr>
        <w:pStyle w:val="Normal"/>
        <w:ind w:left="284"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t>*Niepotrzebne skreślić</w:t>
      </w:r>
    </w:p>
    <w:p>
      <w:pPr>
        <w:pStyle w:val="Normal"/>
        <w:ind w:left="284"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Oświadczamy, że:</w:t>
      </w:r>
    </w:p>
    <w:p>
      <w:pPr>
        <w:pStyle w:val="ListParagraph"/>
        <w:numPr>
          <w:ilvl w:val="0"/>
          <w:numId w:val="43"/>
        </w:numPr>
        <w:tabs>
          <w:tab w:val="clear" w:pos="708"/>
          <w:tab w:val="left" w:pos="284" w:leader="none"/>
        </w:tabs>
        <w:spacing w:before="0" w:after="120"/>
        <w:ind w:left="284" w:hanging="284"/>
        <w:rPr/>
      </w:pPr>
      <w:r>
        <w:rPr/>
        <w:t>Oświadczamy</w:t>
      </w:r>
      <w:r>
        <w:rPr>
          <w:vertAlign w:val="superscript"/>
        </w:rPr>
        <w:t>1</w:t>
      </w:r>
      <w:r>
        <w:rPr/>
        <w:t xml:space="preserve">, że </w:t>
      </w:r>
      <w:r>
        <w:rPr>
          <w:b/>
          <w:bCs/>
        </w:rPr>
        <w:t>nie jesteśmy</w:t>
      </w:r>
      <w:r>
        <w:rPr/>
        <w:t xml:space="preserve"> /</w:t>
      </w:r>
      <w:r>
        <w:rPr>
          <w:b/>
        </w:rPr>
        <w:t xml:space="preserve">jesteśmy* </w:t>
      </w:r>
      <w:r>
        <w:rPr/>
        <w:t>:                                                                                                            mikroprzedsiębiorstwem /małym przedsiębiorstwem / średnim przedsiębiorstwem/jednoosobową działalnością gospodarczą</w:t>
      </w:r>
      <w:r>
        <w:rPr>
          <w:vertAlign w:val="superscript"/>
        </w:rPr>
        <w:t xml:space="preserve"> *</w:t>
      </w:r>
      <w:r>
        <w:rPr/>
        <w:t>.</w:t>
      </w:r>
    </w:p>
    <w:p>
      <w:pPr>
        <w:pStyle w:val="ListParagraph"/>
        <w:numPr>
          <w:ilvl w:val="0"/>
          <w:numId w:val="43"/>
        </w:numPr>
        <w:shd w:val="clear" w:color="auto" w:fill="FFFFFF"/>
        <w:tabs>
          <w:tab w:val="clear" w:pos="708"/>
          <w:tab w:val="left" w:pos="0" w:leader="none"/>
          <w:tab w:val="left" w:pos="284" w:leader="none"/>
        </w:tabs>
        <w:spacing w:before="0" w:after="120"/>
        <w:jc w:val="both"/>
        <w:rPr/>
      </w:pPr>
      <w:r>
        <w:rPr>
          <w:color w:val="000000"/>
        </w:rPr>
        <w:t>Oświadczamy, iż zaakceptowaliśmy termin re</w:t>
      </w:r>
      <w:r>
        <w:rPr/>
        <w:t xml:space="preserve">alizacji przedmiotu umowy wskazany </w:t>
        <w:br/>
        <w:t>w rozdziale II ust. 6 SWZ oraz w projektowanych postanowieniach umowy.</w:t>
      </w:r>
    </w:p>
    <w:p>
      <w:pPr>
        <w:pStyle w:val="Normal"/>
        <w:numPr>
          <w:ilvl w:val="0"/>
          <w:numId w:val="43"/>
        </w:numPr>
        <w:shd w:val="clear" w:color="auto" w:fill="FFFFFF"/>
        <w:tabs>
          <w:tab w:val="clear" w:pos="708"/>
          <w:tab w:val="left" w:pos="284" w:leader="none"/>
        </w:tabs>
        <w:spacing w:before="0" w:after="120"/>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Oświadczamy, że zapoznaliśmy się ze Specyfikacją Warunków Zamówienia i nie wnosimy do niej zastrzeżeń oraz zdobyliśmy konieczne informacje do przygotowania oferty.</w:t>
      </w:r>
    </w:p>
    <w:p>
      <w:pPr>
        <w:pStyle w:val="Normal"/>
        <w:numPr>
          <w:ilvl w:val="0"/>
          <w:numId w:val="43"/>
        </w:numPr>
        <w:shd w:val="clear" w:color="auto" w:fill="FFFFFF"/>
        <w:tabs>
          <w:tab w:val="clear" w:pos="708"/>
          <w:tab w:val="left" w:pos="284" w:leader="none"/>
        </w:tabs>
        <w:spacing w:before="0" w:after="120"/>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Oświadczamy, że jesteśmy związani niniejszą ofertą na czas wskazany w Specyfikacji Warunków Zamówienia.</w:t>
      </w:r>
    </w:p>
    <w:p>
      <w:pPr>
        <w:pStyle w:val="Normal"/>
        <w:numPr>
          <w:ilvl w:val="0"/>
          <w:numId w:val="43"/>
        </w:numPr>
        <w:shd w:val="clear" w:color="auto" w:fill="FFFFFF"/>
        <w:tabs>
          <w:tab w:val="clear" w:pos="708"/>
          <w:tab w:val="left" w:pos="284" w:leader="none"/>
        </w:tabs>
        <w:spacing w:before="0" w:after="120"/>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Oświadczamy, że zawarte w Specyfikacji Warunków Zamówienia </w:t>
      </w:r>
      <w:r>
        <w:rPr>
          <w:rFonts w:cs="Times New Roman" w:ascii="Times New Roman" w:hAnsi="Times New Roman"/>
          <w:sz w:val="24"/>
          <w:szCs w:val="24"/>
        </w:rPr>
        <w:t>w projektowane postanowienia umowy</w:t>
      </w:r>
      <w:r>
        <w:rPr>
          <w:rFonts w:cs="Times New Roman" w:ascii="Times New Roman" w:hAnsi="Times New Roman"/>
          <w:color w:val="FF0000"/>
          <w:sz w:val="24"/>
          <w:szCs w:val="24"/>
          <w:lang w:eastAsia="ar-SA"/>
        </w:rPr>
        <w:t xml:space="preserve"> </w:t>
      </w:r>
      <w:r>
        <w:rPr>
          <w:rFonts w:cs="Times New Roman" w:ascii="Times New Roman" w:hAnsi="Times New Roman"/>
          <w:sz w:val="24"/>
          <w:szCs w:val="24"/>
          <w:lang w:eastAsia="ar-SA"/>
        </w:rPr>
        <w:t xml:space="preserve">zostały przez nas zaakceptowane i zobowiązujemy się w przypadku wyboru naszej oferty do zawarcia umowy w miejscu i terminie wyznaczonym przez Zamawiającego. </w:t>
      </w:r>
    </w:p>
    <w:p>
      <w:pPr>
        <w:pStyle w:val="Normal"/>
        <w:numPr>
          <w:ilvl w:val="0"/>
          <w:numId w:val="43"/>
        </w:numPr>
        <w:shd w:val="clear" w:color="auto" w:fill="FFFFFF"/>
        <w:tabs>
          <w:tab w:val="clear" w:pos="708"/>
          <w:tab w:val="left" w:pos="567" w:leader="none"/>
        </w:tabs>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Oświadczamy, iż zamierzamy zlecić podwykonawcy następujące części zamówienia</w:t>
      </w:r>
    </w:p>
    <w:p>
      <w:pPr>
        <w:pStyle w:val="Normal"/>
        <w:shd w:val="clear" w:color="auto" w:fill="FFFFFF"/>
        <w:spacing w:before="0" w:after="60"/>
        <w:ind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(wypełnić tylko w przypadku realizacji zamówienia przy udziale podwykonawców) </w:t>
      </w:r>
    </w:p>
    <w:p>
      <w:pPr>
        <w:pStyle w:val="Normal"/>
        <w:numPr>
          <w:ilvl w:val="5"/>
          <w:numId w:val="44"/>
        </w:numPr>
        <w:shd w:val="clear" w:color="auto" w:fill="FFFFFF"/>
        <w:tabs>
          <w:tab w:val="clear" w:pos="708"/>
          <w:tab w:val="left" w:pos="567" w:leader="none"/>
        </w:tabs>
        <w:spacing w:before="0" w:after="60"/>
        <w:ind w:left="567" w:hanging="283"/>
        <w:jc w:val="both"/>
        <w:rPr>
          <w:rFonts w:ascii="Times New Roman" w:hAnsi="Times New Roman" w:cs="Times New Roman"/>
          <w:sz w:val="24"/>
          <w:szCs w:val="24"/>
          <w:lang w:eastAsia="ar-SA"/>
        </w:rPr>
      </w:pPr>
      <w:r>
        <w:rPr>
          <w:rFonts w:cs="Times New Roman" w:ascii="Times New Roman" w:hAnsi="Times New Roman"/>
          <w:sz w:val="24"/>
          <w:szCs w:val="24"/>
          <w:lang w:eastAsia="ar-SA"/>
        </w:rPr>
        <w:t>część ………………………………… nazwa podwykonawcy ………………..</w:t>
      </w:r>
    </w:p>
    <w:p>
      <w:pPr>
        <w:pStyle w:val="Normal"/>
        <w:numPr>
          <w:ilvl w:val="5"/>
          <w:numId w:val="44"/>
        </w:numPr>
        <w:shd w:val="clear" w:color="auto" w:fill="FFFFFF"/>
        <w:tabs>
          <w:tab w:val="clear" w:pos="708"/>
          <w:tab w:val="left" w:pos="567" w:leader="none"/>
        </w:tabs>
        <w:spacing w:before="0" w:after="120"/>
        <w:ind w:left="567" w:hanging="283"/>
        <w:jc w:val="both"/>
        <w:rPr>
          <w:rFonts w:ascii="Times New Roman" w:hAnsi="Times New Roman" w:cs="Times New Roman"/>
          <w:sz w:val="24"/>
          <w:szCs w:val="24"/>
          <w:lang w:eastAsia="ar-SA"/>
        </w:rPr>
      </w:pPr>
      <w:r>
        <w:rPr>
          <w:rFonts w:cs="Times New Roman" w:ascii="Times New Roman" w:hAnsi="Times New Roman"/>
          <w:sz w:val="24"/>
          <w:szCs w:val="24"/>
          <w:lang w:eastAsia="ar-SA"/>
        </w:rPr>
        <w:t>część ………………………………… nazwa podwykonawcy ………………..</w:t>
      </w:r>
    </w:p>
    <w:p>
      <w:pPr>
        <w:pStyle w:val="Normal"/>
        <w:numPr>
          <w:ilvl w:val="0"/>
          <w:numId w:val="43"/>
        </w:numPr>
        <w:shd w:val="clear" w:color="auto" w:fill="FFFFFF"/>
        <w:tabs>
          <w:tab w:val="clear" w:pos="708"/>
          <w:tab w:val="left" w:pos="284" w:leader="none"/>
        </w:tabs>
        <w:spacing w:before="0" w:after="120"/>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Integralną część niniejszej oferty stanowią dokumenty wymagane treścią </w:t>
      </w:r>
      <w:r>
        <w:rPr>
          <w:rFonts w:eastAsia="Calibri" w:cs="Times New Roman" w:ascii="Times New Roman" w:hAnsi="Times New Roman"/>
          <w:sz w:val="24"/>
          <w:szCs w:val="24"/>
        </w:rPr>
        <w:t>rozdziału II ust. 9 pkt 1 SWZ</w:t>
      </w:r>
      <w:r>
        <w:rPr>
          <w:rFonts w:cs="Times New Roman" w:ascii="Times New Roman" w:hAnsi="Times New Roman"/>
          <w:sz w:val="24"/>
          <w:szCs w:val="24"/>
          <w:lang w:eastAsia="ar-SA"/>
        </w:rPr>
        <w:t>.</w:t>
      </w:r>
    </w:p>
    <w:p>
      <w:pPr>
        <w:pStyle w:val="Normal"/>
        <w:spacing w:before="0" w:after="120"/>
        <w:ind w:left="284" w:hanging="284"/>
        <w:jc w:val="both"/>
        <w:rPr>
          <w:rFonts w:ascii="Times New Roman" w:hAnsi="Times New Roman" w:eastAsia="Calibri" w:cs="Times New Roman"/>
          <w:sz w:val="24"/>
          <w:szCs w:val="24"/>
        </w:rPr>
      </w:pPr>
      <w:r>
        <w:rPr>
          <w:rFonts w:cs="Times New Roman" w:ascii="Times New Roman" w:hAnsi="Times New Roman"/>
          <w:sz w:val="24"/>
          <w:szCs w:val="24"/>
        </w:rPr>
        <w:t xml:space="preserve">9. </w:t>
        <w:tab/>
      </w:r>
      <w:r>
        <w:rPr>
          <w:rFonts w:eastAsia="Calibri" w:cs="Times New Roman" w:ascii="Times New Roman" w:hAnsi="Times New Roman"/>
          <w:color w:val="000000"/>
          <w:sz w:val="24"/>
          <w:szCs w:val="24"/>
        </w:rPr>
        <w:t>Oświadczam, że wypełniłem obowiązki informacyjne przewidziane w art. 13 lub art. 14 RODO</w:t>
      </w:r>
      <w:r>
        <w:rPr>
          <w:rFonts w:eastAsia="Calibri" w:cs="Times New Roman" w:ascii="Times New Roman" w:hAnsi="Times New Roman"/>
          <w:color w:val="000000"/>
          <w:sz w:val="24"/>
          <w:szCs w:val="24"/>
          <w:vertAlign w:val="superscript"/>
        </w:rPr>
        <w:t>1)</w:t>
      </w:r>
      <w:r>
        <w:rPr>
          <w:rFonts w:eastAsia="Calibri" w:cs="Times New Roman" w:ascii="Times New Roman" w:hAnsi="Times New Roman"/>
          <w:color w:val="000000"/>
          <w:sz w:val="24"/>
          <w:szCs w:val="24"/>
        </w:rPr>
        <w:t xml:space="preserve"> wobec osób fizycznych, </w:t>
      </w:r>
      <w:r>
        <w:rPr>
          <w:rFonts w:eastAsia="Calibri" w:cs="Times New Roman" w:ascii="Times New Roman" w:hAnsi="Times New Roman"/>
          <w:sz w:val="24"/>
          <w:szCs w:val="24"/>
        </w:rPr>
        <w:t>od których dane osobowe bezpośrednio lub pośrednio pozyskałem</w:t>
      </w:r>
      <w:r>
        <w:rPr>
          <w:rFonts w:eastAsia="Calibri" w:cs="Times New Roman" w:ascii="Times New Roman" w:hAnsi="Times New Roman"/>
          <w:color w:val="000000"/>
          <w:sz w:val="24"/>
          <w:szCs w:val="24"/>
        </w:rPr>
        <w:t xml:space="preserve"> w celu ubiegania się o udzielenie zamówienia publicznego w niniejszym postępowaniu</w:t>
      </w:r>
      <w:r>
        <w:rPr>
          <w:rFonts w:eastAsia="Calibri" w:cs="Times New Roman" w:ascii="Times New Roman" w:hAnsi="Times New Roman"/>
          <w:sz w:val="24"/>
          <w:szCs w:val="24"/>
        </w:rPr>
        <w:t>.*</w:t>
      </w:r>
    </w:p>
    <w:p>
      <w:pPr>
        <w:pStyle w:val="Normal"/>
        <w:ind w:left="426" w:hanging="142"/>
        <w:jc w:val="both"/>
        <w:rPr>
          <w:rFonts w:ascii="Times New Roman" w:hAnsi="Times New Roman" w:eastAsia="Calibri" w:cs="Times New Roman"/>
          <w:sz w:val="24"/>
          <w:szCs w:val="24"/>
        </w:rPr>
      </w:pPr>
      <w:bookmarkStart w:id="20" w:name="_Hlk64548074"/>
      <w:r>
        <w:rPr>
          <w:rFonts w:eastAsia="Calibri" w:cs="Times New Roman" w:ascii="Times New Roman" w:hAnsi="Times New Roman"/>
          <w:color w:val="000000"/>
          <w:sz w:val="24"/>
          <w:szCs w:val="24"/>
          <w:vertAlign w:val="superscript"/>
        </w:rPr>
        <w:t xml:space="preserve">1) </w:t>
      </w:r>
      <w:r>
        <w:rPr>
          <w:rFonts w:eastAsia="Calibri" w:cs="Times New Roman" w:ascii="Times New Roman" w:hAnsi="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pacing w:before="0" w:after="120"/>
        <w:ind w:left="426" w:hanging="142"/>
        <w:jc w:val="both"/>
        <w:rPr>
          <w:rFonts w:ascii="Times New Roman" w:hAnsi="Times New Roman" w:eastAsia="Calibri" w:cs="Times New Roman"/>
          <w:sz w:val="24"/>
          <w:szCs w:val="24"/>
        </w:rPr>
      </w:pPr>
      <w:r>
        <w:rPr>
          <w:rFonts w:eastAsia="Calibri" w:cs="Times New Roman" w:ascii="Times New Roman" w:hAnsi="Times New Roman"/>
          <w:color w:val="000000"/>
          <w:sz w:val="24"/>
          <w:szCs w:val="24"/>
        </w:rPr>
        <w:t xml:space="preserve">* W przypadku gdy wykonawca </w:t>
      </w:r>
      <w:r>
        <w:rPr>
          <w:rFonts w:eastAsia="Calibri" w:cs="Times New Roman" w:ascii="Times New Roman" w:hAnsi="Times New Roman"/>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0"/>
    </w:p>
    <w:p>
      <w:pPr>
        <w:pStyle w:val="Normal"/>
        <w:spacing w:before="0" w:after="120"/>
        <w:ind w:left="426" w:hanging="142"/>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120"/>
        <w:ind w:left="426" w:hanging="142"/>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rFonts w:ascii="Arial" w:hAnsi="Arial" w:cs="Arial"/>
          <w:b/>
          <w:b/>
          <w:bCs/>
          <w:i/>
          <w:i/>
          <w:iCs/>
          <w:color w:val="FF0000"/>
        </w:rPr>
      </w:pPr>
      <w:r>
        <w:rPr>
          <w:rFonts w:cs="Arial" w:ascii="Arial" w:hAnsi="Arial"/>
          <w:b/>
          <w:bCs/>
          <w:i/>
          <w:iCs/>
          <w:color w:val="FF0000"/>
        </w:rPr>
        <w:t>Dokument musi zostać opatrzony kwalifikowanym podpisem elektronicznym, podpisem zaufanym lub podpisem osobisty</w:t>
      </w:r>
    </w:p>
    <w:p>
      <w:pPr>
        <w:pStyle w:val="Normal"/>
        <w:tabs>
          <w:tab w:val="clear" w:pos="708"/>
          <w:tab w:val="right" w:pos="9072" w:leader="none"/>
        </w:tabs>
        <w:spacing w:lineRule="auto" w:line="276" w:before="0" w:after="200"/>
        <w:rPr>
          <w:rFonts w:ascii="Times New Roman" w:hAnsi="Times New Roman" w:eastAsia="Times New Roman" w:cs="Times New Roman"/>
          <w:color w:val="FF0000"/>
          <w:sz w:val="24"/>
          <w:szCs w:val="24"/>
          <w:lang w:eastAsia="pl-PL"/>
        </w:rPr>
      </w:pPr>
      <w:r>
        <w:rPr>
          <w:rFonts w:eastAsia="Times New Roman" w:cs="Times New Roman" w:ascii="Times New Roman" w:hAnsi="Times New Roman"/>
          <w:color w:val="FF0000"/>
          <w:sz w:val="24"/>
          <w:szCs w:val="24"/>
          <w:lang w:eastAsia="pl-PL"/>
        </w:rPr>
      </w:r>
    </w:p>
    <w:p>
      <w:pPr>
        <w:pStyle w:val="Normal"/>
        <w:spacing w:lineRule="auto" w:line="240" w:before="0" w:after="0"/>
        <w:ind w:left="426" w:hanging="142"/>
        <w:jc w:val="both"/>
        <w:rPr>
          <w:rFonts w:ascii="Times New Roman" w:hAnsi="Times New Roman" w:eastAsia="Times New Roman" w:cs="Times New Roman"/>
          <w:color w:val="FF0000"/>
          <w:sz w:val="16"/>
          <w:szCs w:val="16"/>
          <w:lang w:eastAsia="ar-SA"/>
        </w:rPr>
      </w:pPr>
      <w:r>
        <w:rPr>
          <w:rFonts w:eastAsia="Times New Roman" w:cs="Times New Roman" w:ascii="Times New Roman" w:hAnsi="Times New Roman"/>
          <w:color w:val="FF0000"/>
          <w:sz w:val="16"/>
          <w:szCs w:val="16"/>
          <w:lang w:eastAsia="ar-SA"/>
        </w:rPr>
        <w:t>*Niepotrzebne skreślić</w:t>
      </w:r>
    </w:p>
    <w:p>
      <w:pPr>
        <w:pStyle w:val="Normal"/>
        <w:spacing w:lineRule="auto" w:line="240" w:before="0" w:after="0"/>
        <w:ind w:left="426" w:hanging="142"/>
        <w:jc w:val="both"/>
        <w:rPr>
          <w:rFonts w:ascii="Times New Roman" w:hAnsi="Times New Roman" w:eastAsia="Times New Roman" w:cs="Times New Roman"/>
          <w:color w:val="FF0000"/>
          <w:sz w:val="8"/>
          <w:szCs w:val="8"/>
          <w:lang w:eastAsia="ar-SA"/>
        </w:rPr>
      </w:pPr>
      <w:r>
        <w:rPr>
          <w:rFonts w:eastAsia="Times New Roman" w:cs="Times New Roman" w:ascii="Times New Roman" w:hAnsi="Times New Roman"/>
          <w:color w:val="FF0000"/>
          <w:sz w:val="8"/>
          <w:szCs w:val="8"/>
          <w:lang w:eastAsia="ar-SA"/>
        </w:rPr>
      </w:r>
    </w:p>
    <w:p>
      <w:pPr>
        <w:pStyle w:val="Normal"/>
        <w:spacing w:lineRule="auto" w:line="240" w:before="0" w:after="0"/>
        <w:ind w:left="426" w:hanging="142"/>
        <w:jc w:val="both"/>
        <w:rPr>
          <w:rFonts w:ascii="Times New Roman" w:hAnsi="Times New Roman" w:eastAsia="Times New Roman" w:cs="Times New Roman"/>
          <w:bCs/>
          <w:color w:val="FF0000"/>
          <w:sz w:val="16"/>
          <w:szCs w:val="16"/>
          <w:lang w:eastAsia="pl-PL"/>
        </w:rPr>
      </w:pPr>
      <w:r>
        <w:rPr>
          <w:rFonts w:eastAsia="Times New Roman" w:cs="Times New Roman" w:ascii="Times New Roman" w:hAnsi="Times New Roman"/>
          <w:color w:val="FF0000"/>
          <w:sz w:val="16"/>
          <w:szCs w:val="16"/>
          <w:lang w:eastAsia="pl-PL"/>
        </w:rPr>
        <w:t xml:space="preserve">  </w:t>
      </w:r>
      <w:r>
        <w:rPr>
          <w:rFonts w:eastAsia="Times New Roman" w:cs="Times New Roman" w:ascii="Times New Roman" w:hAnsi="Times New Roman"/>
          <w:color w:val="FF0000"/>
          <w:sz w:val="16"/>
          <w:szCs w:val="16"/>
          <w:lang w:eastAsia="pl-PL"/>
        </w:rPr>
        <w:t xml:space="preserve">Por. </w:t>
      </w:r>
      <w:r>
        <w:rPr>
          <w:rFonts w:eastAsia="Times New Roman" w:cs="Times New Roman" w:ascii="Times New Roman" w:hAnsi="Times New Roman"/>
          <w:b/>
          <w:bCs/>
          <w:i/>
          <w:color w:val="FF0000"/>
          <w:sz w:val="16"/>
          <w:szCs w:val="16"/>
          <w:lang w:eastAsia="pl-PL"/>
        </w:rPr>
        <w:t xml:space="preserve">zalecenie Komisji z dnia 6 maja 2003 r. dotyczące definicji mikroprzedsiębiorstw oraz małych i średnich przedsiębiorstw (Dz.U. L 124 z 20.5.2003, s. 36). Te informacje są wymagane wyłącznie do celów statystycznych. </w:t>
      </w:r>
    </w:p>
    <w:p>
      <w:pPr>
        <w:pStyle w:val="Normal"/>
        <w:spacing w:lineRule="auto" w:line="240" w:before="0" w:after="0"/>
        <w:ind w:left="426" w:hanging="0"/>
        <w:jc w:val="both"/>
        <w:rPr>
          <w:rFonts w:ascii="Times New Roman" w:hAnsi="Times New Roman" w:eastAsia="Times New Roman" w:cs="Times New Roman"/>
          <w:bCs/>
          <w:color w:val="FF0000"/>
          <w:sz w:val="16"/>
          <w:szCs w:val="16"/>
          <w:lang w:eastAsia="pl-PL"/>
        </w:rPr>
      </w:pPr>
      <w:r>
        <w:rPr>
          <w:rFonts w:eastAsia="Times New Roman" w:cs="Times New Roman" w:ascii="Times New Roman" w:hAnsi="Times New Roman"/>
          <w:b/>
          <w:bCs/>
          <w:i/>
          <w:color w:val="FF0000"/>
          <w:sz w:val="16"/>
          <w:szCs w:val="16"/>
          <w:lang w:eastAsia="pl-PL"/>
        </w:rPr>
        <w:t>Mikroprzedsiębiorstwo: przedsiębiorstwo, które zatrudnia mniej niż 10 osób i którego roczny obrót lub roczna suma bilansowa nie przekracza 2 milionów EUR.</w:t>
      </w:r>
    </w:p>
    <w:p>
      <w:pPr>
        <w:pStyle w:val="Normal"/>
        <w:spacing w:lineRule="auto" w:line="240" w:before="0" w:after="0"/>
        <w:ind w:left="426" w:hanging="0"/>
        <w:jc w:val="both"/>
        <w:rPr>
          <w:rFonts w:ascii="Times New Roman" w:hAnsi="Times New Roman" w:eastAsia="Times New Roman" w:cs="Times New Roman"/>
          <w:bCs/>
          <w:color w:val="FF0000"/>
          <w:sz w:val="16"/>
          <w:szCs w:val="16"/>
          <w:lang w:eastAsia="pl-PL"/>
        </w:rPr>
      </w:pPr>
      <w:r>
        <w:rPr>
          <w:rFonts w:eastAsia="Times New Roman" w:cs="Times New Roman" w:ascii="Times New Roman" w:hAnsi="Times New Roman"/>
          <w:b/>
          <w:bCs/>
          <w:i/>
          <w:color w:val="FF0000"/>
          <w:sz w:val="16"/>
          <w:szCs w:val="16"/>
          <w:lang w:eastAsia="pl-PL"/>
        </w:rPr>
        <w:t>Małe przedsiębiorstwo: przedsiębiorstwo, które zatrudnia mniej niż 50 osób i którego roczny obrót lub roczna suma bilansowa nie przekracza 10 milionów EUR.</w:t>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tLeast" w:line="100" w:before="0" w:after="0"/>
        <w:ind w:left="-284" w:hanging="0"/>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sz w:val="24"/>
          <w:szCs w:val="24"/>
          <w:lang w:eastAsia="pl-PL"/>
        </w:rPr>
        <w:t>ZAŁĄCZNIK NR 1a opis przedmiotu zamówienia /załącznik nr 1a do umowy</w:t>
      </w:r>
    </w:p>
    <w:p>
      <w:pPr>
        <w:pStyle w:val="Normal"/>
        <w:spacing w:lineRule="auto" w:line="240" w:before="0" w:after="0"/>
        <w:jc w:val="center"/>
        <w:rPr>
          <w:rFonts w:ascii="Times New Roman" w:hAnsi="Times New Roman" w:eastAsia="Times New Roman" w:cs="Times New Roman"/>
          <w:b/>
          <w:b/>
          <w:color w:val="FF0000"/>
          <w:sz w:val="28"/>
          <w:szCs w:val="28"/>
          <w:lang w:eastAsia="pl-PL"/>
        </w:rPr>
      </w:pPr>
      <w:r>
        <w:rPr>
          <w:rFonts w:eastAsia="Times New Roman" w:cs="Times New Roman" w:ascii="Times New Roman" w:hAnsi="Times New Roman"/>
          <w:b/>
          <w:color w:val="FF0000"/>
          <w:sz w:val="28"/>
          <w:szCs w:val="28"/>
          <w:lang w:eastAsia="pl-PL"/>
        </w:rPr>
      </w:r>
    </w:p>
    <w:p>
      <w:pPr>
        <w:pStyle w:val="Normal"/>
        <w:rPr>
          <w:sz w:val="28"/>
          <w:szCs w:val="28"/>
        </w:rPr>
      </w:pPr>
      <w:r>
        <w:rPr>
          <w:sz w:val="28"/>
          <w:szCs w:val="28"/>
        </w:rPr>
        <w:t>„</w:t>
      </w:r>
      <w:r>
        <w:rPr>
          <w:sz w:val="28"/>
          <w:szCs w:val="28"/>
        </w:rPr>
        <w:t>Zakup wraz z dostawą pojazdów specjalnych asenizacyjnych do wywozu nieczystości ścieków”</w:t>
      </w:r>
    </w:p>
    <w:p>
      <w:pPr>
        <w:pStyle w:val="Normal"/>
        <w:rPr>
          <w:b/>
          <w:b/>
          <w:bCs/>
        </w:rPr>
      </w:pPr>
      <w:r>
        <w:rPr>
          <w:b/>
          <w:bCs/>
        </w:rPr>
        <w:t>Zadanie 1. Zakup wraz z dostawą beczki asenizacyjnej o pojemności nie mniejszej lub równej 15 m3 i nie większej lub równej 20 m3.</w:t>
      </w:r>
    </w:p>
    <w:p>
      <w:pPr>
        <w:pStyle w:val="ListParagraph"/>
        <w:numPr>
          <w:ilvl w:val="0"/>
          <w:numId w:val="55"/>
        </w:numPr>
        <w:suppressAutoHyphens w:val="false"/>
        <w:spacing w:lineRule="auto" w:line="259" w:before="0" w:after="160"/>
        <w:contextualSpacing/>
        <w:rPr>
          <w:b/>
          <w:b/>
          <w:bCs/>
        </w:rPr>
      </w:pPr>
      <w:r>
        <w:rPr>
          <w:b/>
          <w:bCs/>
        </w:rPr>
        <w:t>Opis przedmiotu zamówienia dla zadania 1:</w:t>
      </w:r>
    </w:p>
    <w:p>
      <w:pPr>
        <w:pStyle w:val="Normal"/>
        <w:rPr/>
      </w:pPr>
      <w:r>
        <w:rPr/>
        <w:t>Samochód asenizacyjny na podwoziu ciężarowym o następujących parametrach:</w:t>
      </w:r>
    </w:p>
    <w:p>
      <w:pPr>
        <w:pStyle w:val="ListParagraph"/>
        <w:numPr>
          <w:ilvl w:val="1"/>
          <w:numId w:val="55"/>
        </w:numPr>
        <w:suppressAutoHyphens w:val="false"/>
        <w:spacing w:lineRule="auto" w:line="259" w:before="0" w:after="160"/>
        <w:contextualSpacing/>
        <w:rPr>
          <w:b/>
          <w:b/>
          <w:bCs/>
        </w:rPr>
      </w:pPr>
      <w:r>
        <w:rPr>
          <w:b/>
          <w:bCs/>
        </w:rPr>
        <w:t>Minimalne parametry pojazdu:</w:t>
      </w:r>
    </w:p>
    <w:p>
      <w:pPr>
        <w:pStyle w:val="ListParagraph"/>
        <w:numPr>
          <w:ilvl w:val="2"/>
          <w:numId w:val="55"/>
        </w:numPr>
        <w:suppressAutoHyphens w:val="false"/>
        <w:spacing w:lineRule="auto" w:line="259" w:before="0" w:after="160"/>
        <w:contextualSpacing/>
        <w:rPr/>
      </w:pPr>
      <w:r>
        <w:rPr/>
        <w:t>Rok produkcji podwozia – nie starsze niż 2012 r.</w:t>
      </w:r>
    </w:p>
    <w:p>
      <w:pPr>
        <w:pStyle w:val="ListParagraph"/>
        <w:numPr>
          <w:ilvl w:val="2"/>
          <w:numId w:val="55"/>
        </w:numPr>
        <w:suppressAutoHyphens w:val="false"/>
        <w:spacing w:lineRule="auto" w:line="259" w:before="0" w:after="160"/>
        <w:contextualSpacing/>
        <w:rPr/>
      </w:pPr>
      <w:r>
        <w:rPr/>
        <w:t>Auto zarejestrowane w Polce, posiadające ważny przegląd rejestracyjny (dopuszczone do ruchu), wraz z polisom OC ważna przez okres min. 14 dni od dnia dostawy. Auto zarejestrowane jako pojazd specjalny.</w:t>
      </w:r>
    </w:p>
    <w:p>
      <w:pPr>
        <w:pStyle w:val="ListParagraph"/>
        <w:numPr>
          <w:ilvl w:val="2"/>
          <w:numId w:val="55"/>
        </w:numPr>
        <w:suppressAutoHyphens w:val="false"/>
        <w:spacing w:lineRule="auto" w:line="259" w:before="0" w:after="160"/>
        <w:contextualSpacing/>
        <w:rPr/>
      </w:pPr>
      <w:r>
        <w:rPr/>
        <w:t>Stan podwozia: używane</w:t>
      </w:r>
    </w:p>
    <w:p>
      <w:pPr>
        <w:pStyle w:val="ListParagraph"/>
        <w:numPr>
          <w:ilvl w:val="2"/>
          <w:numId w:val="55"/>
        </w:numPr>
        <w:suppressAutoHyphens w:val="false"/>
        <w:spacing w:lineRule="auto" w:line="259" w:before="0" w:after="160"/>
        <w:contextualSpacing/>
        <w:rPr/>
      </w:pPr>
      <w:r>
        <w:rPr/>
        <w:t>Przebieg – nie większy niż 750 tys. km.</w:t>
      </w:r>
    </w:p>
    <w:p>
      <w:pPr>
        <w:pStyle w:val="ListParagraph"/>
        <w:numPr>
          <w:ilvl w:val="2"/>
          <w:numId w:val="55"/>
        </w:numPr>
        <w:suppressAutoHyphens w:val="false"/>
        <w:spacing w:lineRule="auto" w:line="259" w:before="0" w:after="160"/>
        <w:contextualSpacing/>
        <w:rPr/>
      </w:pPr>
      <w:r>
        <w:rPr/>
        <w:t>Silnik o mocy nie mniejszej niż 400 KM</w:t>
      </w:r>
    </w:p>
    <w:p>
      <w:pPr>
        <w:pStyle w:val="ListParagraph"/>
        <w:numPr>
          <w:ilvl w:val="2"/>
          <w:numId w:val="55"/>
        </w:numPr>
        <w:suppressAutoHyphens w:val="false"/>
        <w:spacing w:lineRule="auto" w:line="259" w:before="0" w:after="160"/>
        <w:contextualSpacing/>
        <w:rPr/>
      </w:pPr>
      <w:r>
        <w:rPr/>
        <w:t>Rodzaj paliwa: Diesel</w:t>
      </w:r>
    </w:p>
    <w:p>
      <w:pPr>
        <w:pStyle w:val="ListParagraph"/>
        <w:numPr>
          <w:ilvl w:val="2"/>
          <w:numId w:val="55"/>
        </w:numPr>
        <w:suppressAutoHyphens w:val="false"/>
        <w:spacing w:lineRule="auto" w:line="259" w:before="0" w:after="160"/>
        <w:contextualSpacing/>
        <w:rPr/>
      </w:pPr>
      <w:r>
        <w:rPr/>
        <w:t>Udokumentowana norma spalania: nie mniej niż EURO 5</w:t>
      </w:r>
    </w:p>
    <w:p>
      <w:pPr>
        <w:pStyle w:val="ListParagraph"/>
        <w:numPr>
          <w:ilvl w:val="2"/>
          <w:numId w:val="55"/>
        </w:numPr>
        <w:suppressAutoHyphens w:val="false"/>
        <w:spacing w:lineRule="auto" w:line="259" w:before="0" w:after="160"/>
        <w:contextualSpacing/>
        <w:rPr/>
      </w:pPr>
      <w:r>
        <w:rPr/>
        <w:t>Skrzynia biegów: manualna lub automatyczna</w:t>
      </w:r>
    </w:p>
    <w:p>
      <w:pPr>
        <w:pStyle w:val="ListParagraph"/>
        <w:numPr>
          <w:ilvl w:val="2"/>
          <w:numId w:val="55"/>
        </w:numPr>
        <w:suppressAutoHyphens w:val="false"/>
        <w:spacing w:lineRule="auto" w:line="259" w:before="0" w:after="160"/>
        <w:contextualSpacing/>
        <w:rPr/>
      </w:pPr>
      <w:r>
        <w:rPr/>
        <w:t>Opony: maksymalne zużycie opon nie przekraczające 30 %</w:t>
      </w:r>
    </w:p>
    <w:p>
      <w:pPr>
        <w:pStyle w:val="ListParagraph"/>
        <w:numPr>
          <w:ilvl w:val="2"/>
          <w:numId w:val="55"/>
        </w:numPr>
        <w:suppressAutoHyphens w:val="false"/>
        <w:spacing w:lineRule="auto" w:line="259" w:before="0" w:after="160"/>
        <w:contextualSpacing/>
        <w:rPr/>
      </w:pPr>
      <w:r>
        <w:rPr/>
        <w:t>Liczba osi: 3 osie w tym tylna oś podnoszona</w:t>
      </w:r>
    </w:p>
    <w:p>
      <w:pPr>
        <w:pStyle w:val="ListParagraph"/>
        <w:numPr>
          <w:ilvl w:val="2"/>
          <w:numId w:val="55"/>
        </w:numPr>
        <w:suppressAutoHyphens w:val="false"/>
        <w:spacing w:lineRule="auto" w:line="259" w:before="0" w:after="160"/>
        <w:contextualSpacing/>
        <w:rPr/>
      </w:pPr>
      <w:r>
        <w:rPr/>
        <w:t>Wymagane DMC pojazdu 26 ton</w:t>
      </w:r>
    </w:p>
    <w:p>
      <w:pPr>
        <w:pStyle w:val="ListParagraph"/>
        <w:numPr>
          <w:ilvl w:val="2"/>
          <w:numId w:val="55"/>
        </w:numPr>
        <w:suppressAutoHyphens w:val="false"/>
        <w:spacing w:lineRule="auto" w:line="259" w:before="0" w:after="160"/>
        <w:contextualSpacing/>
        <w:rPr/>
      </w:pPr>
      <w:r>
        <w:rPr/>
        <w:t>Ilość miejsc w kabinie min 2 (kierowca + pomocnik)</w:t>
      </w:r>
    </w:p>
    <w:p>
      <w:pPr>
        <w:pStyle w:val="ListParagraph"/>
        <w:numPr>
          <w:ilvl w:val="2"/>
          <w:numId w:val="55"/>
        </w:numPr>
        <w:suppressAutoHyphens w:val="false"/>
        <w:spacing w:lineRule="auto" w:line="259" w:before="0" w:after="160"/>
        <w:contextualSpacing/>
        <w:rPr/>
      </w:pPr>
      <w:r>
        <w:rPr/>
        <w:t>fotel kierowcy z zawieszeniem pneumatycznym</w:t>
      </w:r>
    </w:p>
    <w:p>
      <w:pPr>
        <w:pStyle w:val="ListParagraph"/>
        <w:numPr>
          <w:ilvl w:val="2"/>
          <w:numId w:val="55"/>
        </w:numPr>
        <w:suppressAutoHyphens w:val="false"/>
        <w:spacing w:lineRule="auto" w:line="259" w:before="0" w:after="160"/>
        <w:contextualSpacing/>
        <w:rPr/>
      </w:pPr>
      <w:r>
        <w:rPr/>
        <w:t>wszystkie miejsca siedzące z pasami bezpieczeństwa</w:t>
      </w:r>
    </w:p>
    <w:p>
      <w:pPr>
        <w:pStyle w:val="ListParagraph"/>
        <w:numPr>
          <w:ilvl w:val="2"/>
          <w:numId w:val="55"/>
        </w:numPr>
        <w:suppressAutoHyphens w:val="false"/>
        <w:spacing w:lineRule="auto" w:line="259" w:before="0" w:after="160"/>
        <w:contextualSpacing/>
        <w:rPr/>
      </w:pPr>
      <w:r>
        <w:rPr/>
        <w:t>zestaw wskaźników lub wyświetlacz, zawierający co najmniej wskazania: prędkościomierza w km/h, temperatury cieczy chłodzącej silnik, poziomu paliwa, obrotomierza, ilość przejechanych kilometrów,</w:t>
      </w:r>
    </w:p>
    <w:p>
      <w:pPr>
        <w:pStyle w:val="ListParagraph"/>
        <w:numPr>
          <w:ilvl w:val="2"/>
          <w:numId w:val="55"/>
        </w:numPr>
        <w:suppressAutoHyphens w:val="false"/>
        <w:spacing w:lineRule="auto" w:line="259" w:before="0" w:after="160"/>
        <w:contextualSpacing/>
        <w:rPr/>
      </w:pPr>
      <w:r>
        <w:rPr/>
        <w:t xml:space="preserve">oświetlenie wnętrza, </w:t>
      </w:r>
    </w:p>
    <w:p>
      <w:pPr>
        <w:pStyle w:val="ListParagraph"/>
        <w:numPr>
          <w:ilvl w:val="2"/>
          <w:numId w:val="55"/>
        </w:numPr>
        <w:suppressAutoHyphens w:val="false"/>
        <w:spacing w:lineRule="auto" w:line="259" w:before="0" w:after="160"/>
        <w:contextualSpacing/>
        <w:rPr/>
      </w:pPr>
      <w:r>
        <w:rPr/>
        <w:t>szyby otwierane elektrycznie,</w:t>
      </w:r>
    </w:p>
    <w:p>
      <w:pPr>
        <w:pStyle w:val="ListParagraph"/>
        <w:numPr>
          <w:ilvl w:val="2"/>
          <w:numId w:val="55"/>
        </w:numPr>
        <w:suppressAutoHyphens w:val="false"/>
        <w:spacing w:lineRule="auto" w:line="259" w:before="0" w:after="160"/>
        <w:contextualSpacing/>
        <w:rPr/>
      </w:pPr>
      <w:r>
        <w:rPr/>
        <w:t>ogrzewanie kabiny,</w:t>
      </w:r>
    </w:p>
    <w:p>
      <w:pPr>
        <w:pStyle w:val="ListParagraph"/>
        <w:numPr>
          <w:ilvl w:val="2"/>
          <w:numId w:val="55"/>
        </w:numPr>
        <w:suppressAutoHyphens w:val="false"/>
        <w:spacing w:lineRule="auto" w:line="259" w:before="0" w:after="160"/>
        <w:contextualSpacing/>
        <w:rPr/>
      </w:pPr>
      <w:r>
        <w:rPr/>
        <w:t>blokada mostu,</w:t>
      </w:r>
    </w:p>
    <w:p>
      <w:pPr>
        <w:pStyle w:val="ListParagraph"/>
        <w:numPr>
          <w:ilvl w:val="2"/>
          <w:numId w:val="55"/>
        </w:numPr>
        <w:suppressAutoHyphens w:val="false"/>
        <w:spacing w:lineRule="auto" w:line="259" w:before="0" w:after="160"/>
        <w:contextualSpacing/>
        <w:rPr/>
      </w:pPr>
      <w:r>
        <w:rPr/>
        <w:t>system samopoziomowania pojazdu,</w:t>
      </w:r>
    </w:p>
    <w:p>
      <w:pPr>
        <w:pStyle w:val="ListParagraph"/>
        <w:numPr>
          <w:ilvl w:val="2"/>
          <w:numId w:val="55"/>
        </w:numPr>
        <w:suppressAutoHyphens w:val="false"/>
        <w:spacing w:lineRule="auto" w:line="259" w:before="0" w:after="160"/>
        <w:contextualSpacing/>
        <w:rPr/>
      </w:pPr>
      <w:r>
        <w:rPr/>
        <w:t>fartuchy przeciw błotne kół,</w:t>
      </w:r>
    </w:p>
    <w:p>
      <w:pPr>
        <w:pStyle w:val="ListParagraph"/>
        <w:numPr>
          <w:ilvl w:val="2"/>
          <w:numId w:val="55"/>
        </w:numPr>
        <w:suppressAutoHyphens w:val="false"/>
        <w:spacing w:lineRule="auto" w:line="259" w:before="0" w:after="160"/>
        <w:contextualSpacing/>
        <w:rPr/>
      </w:pPr>
      <w:r>
        <w:rPr/>
        <w:t>radio samochodowe z anteną</w:t>
      </w:r>
    </w:p>
    <w:p>
      <w:pPr>
        <w:pStyle w:val="ListParagraph"/>
        <w:numPr>
          <w:ilvl w:val="2"/>
          <w:numId w:val="55"/>
        </w:numPr>
        <w:suppressAutoHyphens w:val="false"/>
        <w:spacing w:lineRule="auto" w:line="259" w:before="0" w:after="160"/>
        <w:contextualSpacing/>
        <w:rPr/>
      </w:pPr>
      <w:r>
        <w:rPr/>
        <w:t>system zapobiegający blokowaniu kół podczas hamowania (ABS)</w:t>
      </w:r>
    </w:p>
    <w:p>
      <w:pPr>
        <w:pStyle w:val="ListParagraph"/>
        <w:numPr>
          <w:ilvl w:val="2"/>
          <w:numId w:val="55"/>
        </w:numPr>
        <w:suppressAutoHyphens w:val="false"/>
        <w:spacing w:lineRule="auto" w:line="259" w:before="0" w:after="160"/>
        <w:contextualSpacing/>
        <w:rPr/>
      </w:pPr>
      <w:r>
        <w:rPr/>
        <w:t>kierownica z regulacją wysokości i kąta pochylenia</w:t>
      </w:r>
    </w:p>
    <w:p>
      <w:pPr>
        <w:pStyle w:val="ListParagraph"/>
        <w:numPr>
          <w:ilvl w:val="2"/>
          <w:numId w:val="55"/>
        </w:numPr>
        <w:suppressAutoHyphens w:val="false"/>
        <w:spacing w:lineRule="auto" w:line="259" w:before="0" w:after="160"/>
        <w:contextualSpacing/>
        <w:rPr/>
      </w:pPr>
      <w:r>
        <w:rPr/>
        <w:t>zbiornik paliwa o pojemności co najmniej 250 dm3,</w:t>
      </w:r>
    </w:p>
    <w:p>
      <w:pPr>
        <w:pStyle w:val="ListParagraph"/>
        <w:numPr>
          <w:ilvl w:val="2"/>
          <w:numId w:val="55"/>
        </w:numPr>
        <w:suppressAutoHyphens w:val="false"/>
        <w:spacing w:lineRule="auto" w:line="259" w:before="0" w:after="160"/>
        <w:contextualSpacing/>
        <w:rPr/>
      </w:pPr>
      <w:r>
        <w:rPr/>
        <w:t>oświetlenie, wyposażenie i oznakowanie umożliwiające poruszanie się po drogach publicznych (wymagane ustawą Prawo o ruchu drogowym i rozporządzeniem Ministra Infrastruktury w sprawie warunków technicznych pojazdów oraz zakresu ich niezbędnego wyposażenia: m.in.: trójkąt ostrzegawczy, gaśnica, apteczka)</w:t>
      </w:r>
    </w:p>
    <w:p>
      <w:pPr>
        <w:pStyle w:val="ListParagraph"/>
        <w:numPr>
          <w:ilvl w:val="2"/>
          <w:numId w:val="55"/>
        </w:numPr>
        <w:suppressAutoHyphens w:val="false"/>
        <w:spacing w:lineRule="auto" w:line="259" w:before="0" w:after="160"/>
        <w:contextualSpacing/>
        <w:rPr/>
      </w:pPr>
      <w:r>
        <w:rPr/>
        <w:t>pasy odblaskowe ( ostrzegawcze ) wzdłuż boków kabiny i zabudowy</w:t>
      </w:r>
    </w:p>
    <w:p>
      <w:pPr>
        <w:pStyle w:val="ListParagraph"/>
        <w:numPr>
          <w:ilvl w:val="2"/>
          <w:numId w:val="55"/>
        </w:numPr>
        <w:suppressAutoHyphens w:val="false"/>
        <w:spacing w:lineRule="auto" w:line="259" w:before="0" w:after="160"/>
        <w:contextualSpacing/>
        <w:rPr>
          <w:sz w:val="23"/>
          <w:szCs w:val="23"/>
        </w:rPr>
      </w:pPr>
      <w:r>
        <w:rPr>
          <w:sz w:val="23"/>
          <w:szCs w:val="23"/>
        </w:rPr>
        <w:t>Oświetlenie ostrzegawcze belka ostrzegawcza, światła koloru pomarańczowego</w:t>
      </w:r>
    </w:p>
    <w:p>
      <w:pPr>
        <w:pStyle w:val="ListParagraph"/>
        <w:numPr>
          <w:ilvl w:val="2"/>
          <w:numId w:val="55"/>
        </w:numPr>
        <w:suppressAutoHyphens w:val="false"/>
        <w:spacing w:lineRule="auto" w:line="259" w:before="0" w:after="160"/>
        <w:contextualSpacing/>
        <w:rPr>
          <w:rFonts w:ascii="Calibri" w:hAnsi="Calibri" w:cs="" w:asciiTheme="minorHAnsi" w:cstheme="minorBidi" w:hAnsiTheme="minorHAnsi"/>
          <w:sz w:val="22"/>
          <w:szCs w:val="22"/>
        </w:rPr>
      </w:pPr>
      <w:r>
        <w:rPr>
          <w:color w:val="2C2C2C"/>
          <w:sz w:val="23"/>
          <w:szCs w:val="23"/>
        </w:rPr>
        <w:t xml:space="preserve">kamera cofania z monitorem, monitor min. 9’’ zamontowany w kabinie, kamera zamontowana na zabudowie beczki. Kąt widzenia kamery min. 170 st. Rozdzielczość min. </w:t>
      </w:r>
      <w:r>
        <w:rPr>
          <w:rFonts w:cs="Tahoma" w:ascii="Tahoma" w:hAnsi="Tahoma"/>
          <w:color w:val="000000"/>
          <w:sz w:val="20"/>
          <w:szCs w:val="20"/>
          <w:shd w:fill="FFFFFF" w:val="clear"/>
        </w:rPr>
        <w:t>733x493 doświetlenie diodami IR – praca w nocy.</w:t>
      </w:r>
    </w:p>
    <w:p>
      <w:pPr>
        <w:pStyle w:val="ListParagraph"/>
        <w:suppressAutoHyphens w:val="false"/>
        <w:spacing w:lineRule="auto" w:line="259" w:before="0" w:after="160"/>
        <w:ind w:left="1080" w:hanging="0"/>
        <w:contextualSpacing/>
        <w:rPr>
          <w:sz w:val="23"/>
          <w:szCs w:val="23"/>
        </w:rPr>
      </w:pPr>
      <w:r>
        <w:rPr>
          <w:sz w:val="23"/>
          <w:szCs w:val="23"/>
        </w:rPr>
      </w:r>
    </w:p>
    <w:p>
      <w:pPr>
        <w:pStyle w:val="ListParagraph"/>
        <w:numPr>
          <w:ilvl w:val="1"/>
          <w:numId w:val="55"/>
        </w:numPr>
        <w:suppressAutoHyphens w:val="false"/>
        <w:spacing w:lineRule="auto" w:line="259" w:before="0" w:after="160"/>
        <w:contextualSpacing/>
        <w:rPr>
          <w:b/>
          <w:b/>
          <w:bCs/>
        </w:rPr>
      </w:pPr>
      <w:r>
        <w:rPr>
          <w:b/>
          <w:bCs/>
        </w:rPr>
        <w:t>Zabudowa asenizacyjna:</w:t>
      </w:r>
    </w:p>
    <w:p>
      <w:pPr>
        <w:pStyle w:val="ListParagraph"/>
        <w:numPr>
          <w:ilvl w:val="2"/>
          <w:numId w:val="55"/>
        </w:numPr>
        <w:suppressAutoHyphens w:val="false"/>
        <w:spacing w:lineRule="auto" w:line="259" w:before="0" w:after="160"/>
        <w:contextualSpacing/>
        <w:rPr/>
      </w:pPr>
      <w:r>
        <w:rPr/>
        <w:t>Nowa zabudowa – rok produkcji 2022</w:t>
      </w:r>
    </w:p>
    <w:p>
      <w:pPr>
        <w:pStyle w:val="ListParagraph"/>
        <w:numPr>
          <w:ilvl w:val="2"/>
          <w:numId w:val="55"/>
        </w:numPr>
        <w:suppressAutoHyphens w:val="false"/>
        <w:spacing w:lineRule="auto" w:line="259" w:before="0" w:after="160"/>
        <w:contextualSpacing/>
        <w:rPr/>
      </w:pPr>
      <w:r>
        <w:rPr/>
        <w:t>Pojemność zbiornika – nie mniejsza lub równa 15 m3 i nie większa lub równa 20 m3</w:t>
      </w:r>
    </w:p>
    <w:p>
      <w:pPr>
        <w:pStyle w:val="ListParagraph"/>
        <w:numPr>
          <w:ilvl w:val="2"/>
          <w:numId w:val="55"/>
        </w:numPr>
        <w:suppressAutoHyphens w:val="false"/>
        <w:spacing w:lineRule="auto" w:line="259" w:before="0" w:after="160"/>
        <w:contextualSpacing/>
        <w:rPr/>
      </w:pPr>
      <w:r>
        <w:rPr>
          <w:color w:val="2C2C2C"/>
          <w:sz w:val="23"/>
          <w:szCs w:val="23"/>
        </w:rPr>
        <w:t>napęd na wałek kardana</w:t>
      </w:r>
    </w:p>
    <w:p>
      <w:pPr>
        <w:pStyle w:val="ListParagraph"/>
        <w:numPr>
          <w:ilvl w:val="2"/>
          <w:numId w:val="55"/>
        </w:numPr>
        <w:suppressAutoHyphens w:val="false"/>
        <w:spacing w:lineRule="auto" w:line="259" w:before="0" w:after="160"/>
        <w:contextualSpacing/>
        <w:rPr/>
      </w:pPr>
      <w:r>
        <w:rPr/>
        <w:t>Zbiornik cylindryczny, wykonany z blachy stalowej grubości nie mniejszej niż 5 mm. wzmocniony pierścieniami zewnętrznymi. Pokryty zewnętrzną warstwa malarską odporną na warunki atmosferyczne.</w:t>
      </w:r>
    </w:p>
    <w:p>
      <w:pPr>
        <w:pStyle w:val="ListParagraph"/>
        <w:numPr>
          <w:ilvl w:val="2"/>
          <w:numId w:val="55"/>
        </w:numPr>
        <w:suppressAutoHyphens w:val="false"/>
        <w:spacing w:lineRule="auto" w:line="259" w:before="0" w:after="160"/>
        <w:contextualSpacing/>
        <w:rPr/>
      </w:pPr>
      <w:r>
        <w:rPr/>
        <w:t>Zabezpieczenie beczki asenizacyjnej od środka powłoką zabezpieczającą przed agresywnym działaniem ścieków oraz ich par – co najmniej dwukrotne nałożenie powłoki.</w:t>
      </w:r>
    </w:p>
    <w:p>
      <w:pPr>
        <w:pStyle w:val="ListParagraph"/>
        <w:numPr>
          <w:ilvl w:val="2"/>
          <w:numId w:val="55"/>
        </w:numPr>
        <w:suppressAutoHyphens w:val="false"/>
        <w:spacing w:lineRule="auto" w:line="259" w:before="0" w:after="160"/>
        <w:contextualSpacing/>
        <w:rPr/>
      </w:pPr>
      <w:r>
        <w:rPr/>
        <w:t>Nachylenie zbiornika ok 4 do 6 stopni,</w:t>
      </w:r>
    </w:p>
    <w:p>
      <w:pPr>
        <w:pStyle w:val="ListParagraph"/>
        <w:numPr>
          <w:ilvl w:val="2"/>
          <w:numId w:val="55"/>
        </w:numPr>
        <w:suppressAutoHyphens w:val="false"/>
        <w:spacing w:lineRule="auto" w:line="259" w:before="0" w:after="160"/>
        <w:contextualSpacing/>
        <w:rPr/>
      </w:pPr>
      <w:r>
        <w:rPr/>
        <w:t>Zbiornik wyposażony w  przegrody wewnętrzne (falochrony) Co najmniej 3 przegrody. Każda z przegród powinna być równa co najmniej 2/3 powierzchni przekroju zbiornika.</w:t>
      </w:r>
    </w:p>
    <w:p>
      <w:pPr>
        <w:pStyle w:val="ListParagraph"/>
        <w:numPr>
          <w:ilvl w:val="2"/>
          <w:numId w:val="55"/>
        </w:numPr>
        <w:suppressAutoHyphens w:val="false"/>
        <w:spacing w:lineRule="auto" w:line="259" w:before="0" w:after="160"/>
        <w:contextualSpacing/>
        <w:rPr/>
      </w:pPr>
      <w:r>
        <w:rPr/>
        <w:t xml:space="preserve">Kompresor ssąco – tłoczący napęd hydrauliczny; wbudowany zawór czterodrogowy (ssanie/wypychanie), automatyczne smarowanie pompy, chłodzenie przez dwa wentylatory. </w:t>
      </w:r>
      <w:r>
        <w:rPr>
          <w:b/>
          <w:bCs/>
          <w:u w:val="single"/>
        </w:rPr>
        <w:t>Pompa przystosowana do pracy ciągłej</w:t>
      </w:r>
      <w:r>
        <w:rPr/>
        <w:t>, przy 80%  próżni. Obroty lewe lub prawe do 1300 obr/min. Wydajność pomy nie mniej niż 13 000 l/min.</w:t>
      </w:r>
    </w:p>
    <w:p>
      <w:pPr>
        <w:pStyle w:val="ListParagraph"/>
        <w:numPr>
          <w:ilvl w:val="2"/>
          <w:numId w:val="55"/>
        </w:numPr>
        <w:suppressAutoHyphens w:val="false"/>
        <w:spacing w:lineRule="auto" w:line="259" w:before="0" w:after="160"/>
        <w:contextualSpacing/>
        <w:rPr/>
      </w:pPr>
      <w:r>
        <w:rPr>
          <w:color w:val="2C2C2C"/>
          <w:sz w:val="23"/>
          <w:szCs w:val="23"/>
        </w:rPr>
        <w:t>dennica tylna otwierana ręcznie lub automatycznie</w:t>
      </w:r>
    </w:p>
    <w:p>
      <w:pPr>
        <w:pStyle w:val="ListParagraph"/>
        <w:numPr>
          <w:ilvl w:val="2"/>
          <w:numId w:val="55"/>
        </w:numPr>
        <w:suppressAutoHyphens w:val="false"/>
        <w:spacing w:lineRule="auto" w:line="259" w:before="0" w:after="160"/>
        <w:contextualSpacing/>
        <w:rPr/>
      </w:pPr>
      <w:r>
        <w:rPr/>
        <w:t>pływakowy zawór regulacyjny umieszczony w najwyższym punkcie zbiornika dla zabezpieczenia przed przepływem nieczystości ze zbiornika do układu ssącego.</w:t>
      </w:r>
    </w:p>
    <w:p>
      <w:pPr>
        <w:pStyle w:val="ListParagraph"/>
        <w:numPr>
          <w:ilvl w:val="2"/>
          <w:numId w:val="55"/>
        </w:numPr>
        <w:suppressAutoHyphens w:val="false"/>
        <w:spacing w:lineRule="auto" w:line="259" w:before="0" w:after="160"/>
        <w:contextualSpacing/>
        <w:rPr/>
      </w:pPr>
      <w:r>
        <w:rPr/>
        <w:t>Odstojnik, w celu niedopuszczenia do zalania pompy próżniowej.</w:t>
      </w:r>
    </w:p>
    <w:p>
      <w:pPr>
        <w:pStyle w:val="ListParagraph"/>
        <w:numPr>
          <w:ilvl w:val="2"/>
          <w:numId w:val="55"/>
        </w:numPr>
        <w:suppressAutoHyphens w:val="false"/>
        <w:spacing w:lineRule="auto" w:line="259" w:before="0" w:after="160"/>
        <w:contextualSpacing/>
        <w:rPr/>
      </w:pPr>
      <w:r>
        <w:rPr/>
        <w:t>Zawór bezpieczeństwa zabezpieczający przed nadmiernym wzrostem cienienia w zbiorniku.</w:t>
      </w:r>
    </w:p>
    <w:p>
      <w:pPr>
        <w:pStyle w:val="ListParagraph"/>
        <w:numPr>
          <w:ilvl w:val="2"/>
          <w:numId w:val="55"/>
        </w:numPr>
        <w:suppressAutoHyphens w:val="false"/>
        <w:spacing w:lineRule="auto" w:line="259" w:before="0" w:after="160"/>
        <w:contextualSpacing/>
        <w:rPr/>
      </w:pPr>
      <w:r>
        <w:rPr/>
        <w:t>Zawór zwrotny umieszczony w układzie ssąco-tłoczącym w celu zabezpieczenia wypływu powietrza ze zbiornika w przypadku, gdy pompa próżniowa zostanie wyłączona.</w:t>
      </w:r>
    </w:p>
    <w:p>
      <w:pPr>
        <w:pStyle w:val="ListParagraph"/>
        <w:numPr>
          <w:ilvl w:val="2"/>
          <w:numId w:val="55"/>
        </w:numPr>
        <w:suppressAutoHyphens w:val="false"/>
        <w:spacing w:lineRule="auto" w:line="259" w:before="0" w:after="160"/>
        <w:contextualSpacing/>
        <w:rPr/>
      </w:pPr>
      <w:r>
        <w:rPr/>
        <w:t>Zawór dolnego ssania, za pomocą którego odbywa się opróżnianie zbiornika, zakończony łącznikiem do mocowania węża z zaślepka zamykającą.</w:t>
      </w:r>
    </w:p>
    <w:p>
      <w:pPr>
        <w:pStyle w:val="ListParagraph"/>
        <w:numPr>
          <w:ilvl w:val="2"/>
          <w:numId w:val="55"/>
        </w:numPr>
        <w:suppressAutoHyphens w:val="false"/>
        <w:spacing w:lineRule="auto" w:line="259" w:before="0" w:after="160"/>
        <w:contextualSpacing/>
        <w:rPr/>
      </w:pPr>
      <w:r>
        <w:rPr/>
        <w:t>Manowakuometr.</w:t>
      </w:r>
    </w:p>
    <w:p>
      <w:pPr>
        <w:pStyle w:val="ListParagraph"/>
        <w:numPr>
          <w:ilvl w:val="2"/>
          <w:numId w:val="55"/>
        </w:numPr>
        <w:suppressAutoHyphens w:val="false"/>
        <w:spacing w:lineRule="auto" w:line="259" w:before="0" w:after="160"/>
        <w:contextualSpacing/>
        <w:rPr/>
      </w:pPr>
      <w:r>
        <w:rPr/>
        <w:t>Wskaźnik płynu ze skalą służący do określenia ilości pobranych ścieków.</w:t>
      </w:r>
    </w:p>
    <w:p>
      <w:pPr>
        <w:pStyle w:val="ListParagraph"/>
        <w:numPr>
          <w:ilvl w:val="2"/>
          <w:numId w:val="55"/>
        </w:numPr>
        <w:suppressAutoHyphens w:val="false"/>
        <w:spacing w:lineRule="auto" w:line="259" w:before="0" w:after="160"/>
        <w:contextualSpacing/>
        <w:rPr/>
      </w:pPr>
      <w:r>
        <w:rPr/>
        <w:t>Pojazdy asenizacyjny musi  być wyposażony w szczelną instalację, szczelny zbiornik oraz w sprawny układ sterowania systemu napełniającego i opróżniającego zbiornik.</w:t>
      </w:r>
    </w:p>
    <w:p>
      <w:pPr>
        <w:pStyle w:val="ListParagraph"/>
        <w:numPr>
          <w:ilvl w:val="2"/>
          <w:numId w:val="55"/>
        </w:numPr>
        <w:suppressAutoHyphens w:val="false"/>
        <w:spacing w:lineRule="auto" w:line="259" w:before="0" w:after="160"/>
        <w:contextualSpacing/>
        <w:rPr>
          <w:sz w:val="23"/>
          <w:szCs w:val="23"/>
        </w:rPr>
      </w:pPr>
      <w:r>
        <w:rPr>
          <w:sz w:val="23"/>
          <w:szCs w:val="23"/>
        </w:rPr>
        <w:t>Halogeny robocze LED minimum dwie sztuki w tym jeden na dennicy na tyle pojazdu, drugi oświetlający kompresor ssąco-tłoczący.</w:t>
      </w:r>
    </w:p>
    <w:p>
      <w:pPr>
        <w:pStyle w:val="ListParagraph"/>
        <w:numPr>
          <w:ilvl w:val="2"/>
          <w:numId w:val="55"/>
        </w:numPr>
        <w:suppressAutoHyphens w:val="false"/>
        <w:spacing w:lineRule="auto" w:line="259" w:before="0" w:after="160"/>
        <w:contextualSpacing/>
        <w:rPr>
          <w:sz w:val="23"/>
          <w:szCs w:val="23"/>
        </w:rPr>
      </w:pPr>
      <w:r>
        <w:rPr/>
        <w:t>Tłumik – odzyskiwacz oleju</w:t>
      </w:r>
    </w:p>
    <w:p>
      <w:pPr>
        <w:pStyle w:val="ListParagraph"/>
        <w:numPr>
          <w:ilvl w:val="2"/>
          <w:numId w:val="55"/>
        </w:numPr>
        <w:suppressAutoHyphens w:val="false"/>
        <w:spacing w:lineRule="auto" w:line="259" w:before="0" w:after="160"/>
        <w:contextualSpacing/>
        <w:rPr>
          <w:sz w:val="23"/>
          <w:szCs w:val="23"/>
        </w:rPr>
      </w:pPr>
      <w:r>
        <w:rPr/>
        <w:t>Rynny na węże po obu stronach beczki, nachylone z lekkim spadkiem na tył beczki, wykonane z blachy aluminiowej o grubości 3 mm lub blachy ocynkowanej min 2 mm grubości  z zaworkami spustowymi o długości odpowiedniej do konstrukcji zbiornika, mieszczące się w szerokości zestawu.</w:t>
      </w:r>
    </w:p>
    <w:p>
      <w:pPr>
        <w:pStyle w:val="ListParagraph"/>
        <w:numPr>
          <w:ilvl w:val="2"/>
          <w:numId w:val="55"/>
        </w:numPr>
        <w:suppressAutoHyphens w:val="false"/>
        <w:spacing w:lineRule="auto" w:line="259" w:before="0" w:after="160"/>
        <w:contextualSpacing/>
        <w:rPr>
          <w:sz w:val="23"/>
          <w:szCs w:val="23"/>
        </w:rPr>
      </w:pPr>
      <w:r>
        <w:rPr>
          <w:sz w:val="23"/>
          <w:szCs w:val="23"/>
        </w:rPr>
        <w:t>Konstrukcja na dennicy  na węże, umożliwiająca ich przełożenie pomiędzy rynnami.</w:t>
      </w:r>
    </w:p>
    <w:p>
      <w:pPr>
        <w:pStyle w:val="Normal"/>
        <w:rPr>
          <w:b/>
          <w:b/>
          <w:bCs/>
        </w:rPr>
      </w:pPr>
      <w:r>
        <w:rPr>
          <w:b/>
          <w:bCs/>
        </w:rPr>
        <w:t>Zadanie 2. Zakup wraz z dostawą beczki asenizacyjnej o pojemności nie mniejszej lub równej 10 m3</w:t>
      </w:r>
      <w:r>
        <w:rPr/>
        <w:t xml:space="preserve"> i nie większej lub równej 12 m3.</w:t>
      </w:r>
    </w:p>
    <w:p>
      <w:pPr>
        <w:pStyle w:val="ListParagraph"/>
        <w:numPr>
          <w:ilvl w:val="0"/>
          <w:numId w:val="55"/>
        </w:numPr>
        <w:suppressAutoHyphens w:val="false"/>
        <w:spacing w:lineRule="auto" w:line="259" w:before="0" w:after="160"/>
        <w:contextualSpacing/>
        <w:rPr>
          <w:b/>
          <w:b/>
          <w:bCs/>
        </w:rPr>
      </w:pPr>
      <w:r>
        <w:rPr>
          <w:b/>
          <w:bCs/>
        </w:rPr>
        <w:t>Opis przedmiotu zamówienia dla zadania 2:</w:t>
      </w:r>
    </w:p>
    <w:p>
      <w:pPr>
        <w:pStyle w:val="Normal"/>
        <w:rPr/>
      </w:pPr>
      <w:r>
        <w:rPr/>
        <w:t>Samochód asenizacyjny na podwoziu ciężarowym o następujących parametrach:</w:t>
      </w:r>
    </w:p>
    <w:p>
      <w:pPr>
        <w:pStyle w:val="ListParagraph"/>
        <w:numPr>
          <w:ilvl w:val="1"/>
          <w:numId w:val="55"/>
        </w:numPr>
        <w:suppressAutoHyphens w:val="false"/>
        <w:spacing w:lineRule="auto" w:line="259" w:before="0" w:after="160"/>
        <w:contextualSpacing/>
        <w:rPr>
          <w:b/>
          <w:b/>
          <w:bCs/>
        </w:rPr>
      </w:pPr>
      <w:r>
        <w:rPr>
          <w:b/>
          <w:bCs/>
        </w:rPr>
        <w:t>Minimalne parametry pojazdu:</w:t>
      </w:r>
    </w:p>
    <w:p>
      <w:pPr>
        <w:pStyle w:val="ListParagraph"/>
        <w:numPr>
          <w:ilvl w:val="2"/>
          <w:numId w:val="55"/>
        </w:numPr>
        <w:suppressAutoHyphens w:val="false"/>
        <w:spacing w:lineRule="auto" w:line="259" w:before="0" w:after="160"/>
        <w:contextualSpacing/>
        <w:rPr/>
      </w:pPr>
      <w:r>
        <w:rPr/>
        <w:t>Rok produkcji podwozia – nie starsze niż 2012 r.</w:t>
      </w:r>
    </w:p>
    <w:p>
      <w:pPr>
        <w:pStyle w:val="ListParagraph"/>
        <w:numPr>
          <w:ilvl w:val="2"/>
          <w:numId w:val="55"/>
        </w:numPr>
        <w:suppressAutoHyphens w:val="false"/>
        <w:spacing w:lineRule="auto" w:line="259" w:before="0" w:after="160"/>
        <w:contextualSpacing/>
        <w:rPr/>
      </w:pPr>
      <w:r>
        <w:rPr/>
        <w:t>Auto zarejestrowane w Polce, posiadające ważny przegląd rejestracyjny (dopuszczone do ruchu), wraz z polisom OC ważna przez okres min. 14 dni od dnia dostawy. Auto zarejestrowane jako pojazd specjalny.</w:t>
      </w:r>
    </w:p>
    <w:p>
      <w:pPr>
        <w:pStyle w:val="ListParagraph"/>
        <w:numPr>
          <w:ilvl w:val="2"/>
          <w:numId w:val="55"/>
        </w:numPr>
        <w:suppressAutoHyphens w:val="false"/>
        <w:spacing w:lineRule="auto" w:line="259" w:before="0" w:after="160"/>
        <w:contextualSpacing/>
        <w:rPr/>
      </w:pPr>
      <w:r>
        <w:rPr/>
        <w:t>Stan podwozia: używane</w:t>
      </w:r>
    </w:p>
    <w:p>
      <w:pPr>
        <w:pStyle w:val="ListParagraph"/>
        <w:numPr>
          <w:ilvl w:val="2"/>
          <w:numId w:val="55"/>
        </w:numPr>
        <w:suppressAutoHyphens w:val="false"/>
        <w:spacing w:lineRule="auto" w:line="259" w:before="0" w:after="160"/>
        <w:contextualSpacing/>
        <w:rPr/>
      </w:pPr>
      <w:r>
        <w:rPr/>
        <w:t>Przebieg – nie większy niż 500 tys. km.</w:t>
      </w:r>
    </w:p>
    <w:p>
      <w:pPr>
        <w:pStyle w:val="ListParagraph"/>
        <w:numPr>
          <w:ilvl w:val="2"/>
          <w:numId w:val="55"/>
        </w:numPr>
        <w:suppressAutoHyphens w:val="false"/>
        <w:spacing w:lineRule="auto" w:line="259" w:before="0" w:after="160"/>
        <w:contextualSpacing/>
        <w:rPr/>
      </w:pPr>
      <w:r>
        <w:rPr/>
        <w:t>Silnik o mocy nie mniejszej niż 300 KM</w:t>
      </w:r>
    </w:p>
    <w:p>
      <w:pPr>
        <w:pStyle w:val="ListParagraph"/>
        <w:numPr>
          <w:ilvl w:val="2"/>
          <w:numId w:val="55"/>
        </w:numPr>
        <w:suppressAutoHyphens w:val="false"/>
        <w:spacing w:lineRule="auto" w:line="259" w:before="0" w:after="160"/>
        <w:contextualSpacing/>
        <w:rPr/>
      </w:pPr>
      <w:r>
        <w:rPr/>
        <w:t>Rodzaj paliwa: Diesel</w:t>
      </w:r>
    </w:p>
    <w:p>
      <w:pPr>
        <w:pStyle w:val="ListParagraph"/>
        <w:numPr>
          <w:ilvl w:val="2"/>
          <w:numId w:val="55"/>
        </w:numPr>
        <w:suppressAutoHyphens w:val="false"/>
        <w:spacing w:lineRule="auto" w:line="259" w:before="0" w:after="160"/>
        <w:contextualSpacing/>
        <w:rPr/>
      </w:pPr>
      <w:r>
        <w:rPr/>
        <w:t>Udokumentowana norma spalania: nie mniej niż EURO 5</w:t>
      </w:r>
    </w:p>
    <w:p>
      <w:pPr>
        <w:pStyle w:val="ListParagraph"/>
        <w:numPr>
          <w:ilvl w:val="2"/>
          <w:numId w:val="55"/>
        </w:numPr>
        <w:suppressAutoHyphens w:val="false"/>
        <w:spacing w:lineRule="auto" w:line="259" w:before="0" w:after="160"/>
        <w:contextualSpacing/>
        <w:rPr/>
      </w:pPr>
      <w:r>
        <w:rPr/>
        <w:t xml:space="preserve">Skrzynia biegów: manualna </w:t>
      </w:r>
    </w:p>
    <w:p>
      <w:pPr>
        <w:pStyle w:val="ListParagraph"/>
        <w:numPr>
          <w:ilvl w:val="2"/>
          <w:numId w:val="55"/>
        </w:numPr>
        <w:suppressAutoHyphens w:val="false"/>
        <w:spacing w:lineRule="auto" w:line="259" w:before="0" w:after="160"/>
        <w:contextualSpacing/>
        <w:rPr/>
      </w:pPr>
      <w:r>
        <w:rPr/>
        <w:t>Opony: maksymalne zużycie opon nie przekraczające 30 %</w:t>
      </w:r>
    </w:p>
    <w:p>
      <w:pPr>
        <w:pStyle w:val="ListParagraph"/>
        <w:numPr>
          <w:ilvl w:val="2"/>
          <w:numId w:val="55"/>
        </w:numPr>
        <w:suppressAutoHyphens w:val="false"/>
        <w:spacing w:lineRule="auto" w:line="259" w:before="0" w:after="160"/>
        <w:contextualSpacing/>
        <w:rPr/>
      </w:pPr>
      <w:r>
        <w:rPr/>
        <w:t>Liczba osi: 2 osie w tym napędowa bliźniak</w:t>
      </w:r>
    </w:p>
    <w:p>
      <w:pPr>
        <w:pStyle w:val="ListParagraph"/>
        <w:numPr>
          <w:ilvl w:val="2"/>
          <w:numId w:val="55"/>
        </w:numPr>
        <w:suppressAutoHyphens w:val="false"/>
        <w:spacing w:lineRule="auto" w:line="259" w:before="0" w:after="160"/>
        <w:contextualSpacing/>
        <w:rPr/>
      </w:pPr>
      <w:r>
        <w:rPr/>
        <w:t>Wymagane DMC pojazdu 18 ton</w:t>
      </w:r>
    </w:p>
    <w:p>
      <w:pPr>
        <w:pStyle w:val="ListParagraph"/>
        <w:numPr>
          <w:ilvl w:val="2"/>
          <w:numId w:val="55"/>
        </w:numPr>
        <w:suppressAutoHyphens w:val="false"/>
        <w:spacing w:lineRule="auto" w:line="259" w:before="0" w:after="160"/>
        <w:contextualSpacing/>
        <w:rPr/>
      </w:pPr>
      <w:r>
        <w:rPr/>
        <w:t>Ilość miejsc w kabinie min 2 (kierowca + pomocnik)</w:t>
      </w:r>
    </w:p>
    <w:p>
      <w:pPr>
        <w:pStyle w:val="ListParagraph"/>
        <w:numPr>
          <w:ilvl w:val="2"/>
          <w:numId w:val="55"/>
        </w:numPr>
        <w:suppressAutoHyphens w:val="false"/>
        <w:spacing w:lineRule="auto" w:line="259" w:before="0" w:after="160"/>
        <w:contextualSpacing/>
        <w:rPr/>
      </w:pPr>
      <w:r>
        <w:rPr/>
        <w:t>fotel kierowcy z zawieszeniem pneumatycznym</w:t>
      </w:r>
    </w:p>
    <w:p>
      <w:pPr>
        <w:pStyle w:val="ListParagraph"/>
        <w:numPr>
          <w:ilvl w:val="2"/>
          <w:numId w:val="55"/>
        </w:numPr>
        <w:suppressAutoHyphens w:val="false"/>
        <w:spacing w:lineRule="auto" w:line="259" w:before="0" w:after="160"/>
        <w:contextualSpacing/>
        <w:rPr/>
      </w:pPr>
      <w:r>
        <w:rPr/>
        <w:t>wszystkie miejsca siedzące z pasami bezpieczeństwa</w:t>
      </w:r>
    </w:p>
    <w:p>
      <w:pPr>
        <w:pStyle w:val="ListParagraph"/>
        <w:numPr>
          <w:ilvl w:val="2"/>
          <w:numId w:val="55"/>
        </w:numPr>
        <w:suppressAutoHyphens w:val="false"/>
        <w:spacing w:lineRule="auto" w:line="259" w:before="0" w:after="160"/>
        <w:contextualSpacing/>
        <w:rPr/>
      </w:pPr>
      <w:r>
        <w:rPr/>
        <w:t>zestaw wskaźników lub wyświetlacz, zawierający co najmniej wskazania: prędkościomierza w km/h, temperatury cieczy chłodzącej silnik, poziomu paliwa, obrotomierza, ilość przejechanych kilometrów,</w:t>
      </w:r>
    </w:p>
    <w:p>
      <w:pPr>
        <w:pStyle w:val="ListParagraph"/>
        <w:numPr>
          <w:ilvl w:val="2"/>
          <w:numId w:val="55"/>
        </w:numPr>
        <w:suppressAutoHyphens w:val="false"/>
        <w:spacing w:lineRule="auto" w:line="259" w:before="0" w:after="160"/>
        <w:contextualSpacing/>
        <w:rPr/>
      </w:pPr>
      <w:r>
        <w:rPr/>
        <w:t xml:space="preserve">oświetlenie wnętrza, </w:t>
      </w:r>
    </w:p>
    <w:p>
      <w:pPr>
        <w:pStyle w:val="ListParagraph"/>
        <w:numPr>
          <w:ilvl w:val="2"/>
          <w:numId w:val="55"/>
        </w:numPr>
        <w:suppressAutoHyphens w:val="false"/>
        <w:spacing w:lineRule="auto" w:line="259" w:before="0" w:after="160"/>
        <w:contextualSpacing/>
        <w:rPr/>
      </w:pPr>
      <w:r>
        <w:rPr/>
        <w:t>szyby otwierane elektrycznie,</w:t>
      </w:r>
    </w:p>
    <w:p>
      <w:pPr>
        <w:pStyle w:val="ListParagraph"/>
        <w:numPr>
          <w:ilvl w:val="2"/>
          <w:numId w:val="55"/>
        </w:numPr>
        <w:suppressAutoHyphens w:val="false"/>
        <w:spacing w:lineRule="auto" w:line="259" w:before="0" w:after="160"/>
        <w:contextualSpacing/>
        <w:rPr/>
      </w:pPr>
      <w:r>
        <w:rPr/>
        <w:t>ogrzewanie kabiny,</w:t>
      </w:r>
    </w:p>
    <w:p>
      <w:pPr>
        <w:pStyle w:val="ListParagraph"/>
        <w:numPr>
          <w:ilvl w:val="2"/>
          <w:numId w:val="55"/>
        </w:numPr>
        <w:suppressAutoHyphens w:val="false"/>
        <w:spacing w:lineRule="auto" w:line="259" w:before="0" w:after="160"/>
        <w:contextualSpacing/>
        <w:rPr/>
      </w:pPr>
      <w:r>
        <w:rPr/>
        <w:t>blokada mostu,</w:t>
      </w:r>
    </w:p>
    <w:p>
      <w:pPr>
        <w:pStyle w:val="ListParagraph"/>
        <w:numPr>
          <w:ilvl w:val="2"/>
          <w:numId w:val="55"/>
        </w:numPr>
        <w:suppressAutoHyphens w:val="false"/>
        <w:spacing w:lineRule="auto" w:line="259" w:before="0" w:after="160"/>
        <w:contextualSpacing/>
        <w:rPr/>
      </w:pPr>
      <w:r>
        <w:rPr/>
        <w:t>system samopoziomowania pojazdu,</w:t>
      </w:r>
    </w:p>
    <w:p>
      <w:pPr>
        <w:pStyle w:val="ListParagraph"/>
        <w:numPr>
          <w:ilvl w:val="2"/>
          <w:numId w:val="55"/>
        </w:numPr>
        <w:suppressAutoHyphens w:val="false"/>
        <w:spacing w:lineRule="auto" w:line="259" w:before="0" w:after="160"/>
        <w:contextualSpacing/>
        <w:rPr/>
      </w:pPr>
      <w:r>
        <w:rPr/>
        <w:t>fartuchy przeciw błotne kół,</w:t>
      </w:r>
    </w:p>
    <w:p>
      <w:pPr>
        <w:pStyle w:val="ListParagraph"/>
        <w:numPr>
          <w:ilvl w:val="2"/>
          <w:numId w:val="55"/>
        </w:numPr>
        <w:suppressAutoHyphens w:val="false"/>
        <w:spacing w:lineRule="auto" w:line="259" w:before="0" w:after="160"/>
        <w:contextualSpacing/>
        <w:rPr/>
      </w:pPr>
      <w:r>
        <w:rPr/>
        <w:t>radio samochodowe z anteną</w:t>
      </w:r>
    </w:p>
    <w:p>
      <w:pPr>
        <w:pStyle w:val="ListParagraph"/>
        <w:numPr>
          <w:ilvl w:val="2"/>
          <w:numId w:val="55"/>
        </w:numPr>
        <w:suppressAutoHyphens w:val="false"/>
        <w:spacing w:lineRule="auto" w:line="259" w:before="0" w:after="160"/>
        <w:contextualSpacing/>
        <w:rPr/>
      </w:pPr>
      <w:r>
        <w:rPr/>
        <w:t>system zapobiegający blokowaniu kół podczas hamowania (ABS)</w:t>
      </w:r>
    </w:p>
    <w:p>
      <w:pPr>
        <w:pStyle w:val="ListParagraph"/>
        <w:numPr>
          <w:ilvl w:val="2"/>
          <w:numId w:val="55"/>
        </w:numPr>
        <w:suppressAutoHyphens w:val="false"/>
        <w:spacing w:lineRule="auto" w:line="259" w:before="0" w:after="160"/>
        <w:contextualSpacing/>
        <w:rPr/>
      </w:pPr>
      <w:r>
        <w:rPr/>
        <w:t>kierownica z regulacją wysokości i kąta pochylenia</w:t>
      </w:r>
    </w:p>
    <w:p>
      <w:pPr>
        <w:pStyle w:val="ListParagraph"/>
        <w:numPr>
          <w:ilvl w:val="2"/>
          <w:numId w:val="55"/>
        </w:numPr>
        <w:suppressAutoHyphens w:val="false"/>
        <w:spacing w:lineRule="auto" w:line="259" w:before="0" w:after="160"/>
        <w:contextualSpacing/>
        <w:rPr/>
      </w:pPr>
      <w:r>
        <w:rPr/>
        <w:t>zbiornik paliwa o pojemności co najmniej 200 dm3,</w:t>
      </w:r>
    </w:p>
    <w:p>
      <w:pPr>
        <w:pStyle w:val="ListParagraph"/>
        <w:numPr>
          <w:ilvl w:val="2"/>
          <w:numId w:val="55"/>
        </w:numPr>
        <w:suppressAutoHyphens w:val="false"/>
        <w:spacing w:lineRule="auto" w:line="259" w:before="0" w:after="160"/>
        <w:contextualSpacing/>
        <w:rPr/>
      </w:pPr>
      <w:r>
        <w:rPr/>
        <w:t>oświetlenie, wyposażenie i oznakowanie umożliwiające poruszanie się po drogach publicznych (wymagane ustawą Prawo o ruchu drogowym i rozporządzeniem Ministra Infrastruktury w sprawie warunków technicznych pojazdów oraz zakresu ich niezbędnego wyposażenia: m.in.: trójkąt ostrzegawczy, gaśnica, apteczka)</w:t>
      </w:r>
    </w:p>
    <w:p>
      <w:pPr>
        <w:pStyle w:val="ListParagraph"/>
        <w:numPr>
          <w:ilvl w:val="2"/>
          <w:numId w:val="55"/>
        </w:numPr>
        <w:suppressAutoHyphens w:val="false"/>
        <w:spacing w:lineRule="auto" w:line="259" w:before="0" w:after="160"/>
        <w:contextualSpacing/>
        <w:rPr/>
      </w:pPr>
      <w:r>
        <w:rPr/>
        <w:t>pasy odblaskowe ( ostrzegawcze ) wzdłuż boków kabiny i zabudowy</w:t>
      </w:r>
    </w:p>
    <w:p>
      <w:pPr>
        <w:pStyle w:val="ListParagraph"/>
        <w:numPr>
          <w:ilvl w:val="2"/>
          <w:numId w:val="55"/>
        </w:numPr>
        <w:suppressAutoHyphens w:val="false"/>
        <w:spacing w:lineRule="auto" w:line="259" w:before="0" w:after="160"/>
        <w:contextualSpacing/>
        <w:rPr>
          <w:sz w:val="23"/>
          <w:szCs w:val="23"/>
        </w:rPr>
      </w:pPr>
      <w:r>
        <w:rPr>
          <w:sz w:val="23"/>
          <w:szCs w:val="23"/>
        </w:rPr>
        <w:t>Oświetlenie ostrzegawcze belka ostrzegawcza, światła koloru pomarańczowego</w:t>
      </w:r>
    </w:p>
    <w:p>
      <w:pPr>
        <w:pStyle w:val="ListParagraph"/>
        <w:numPr>
          <w:ilvl w:val="2"/>
          <w:numId w:val="55"/>
        </w:numPr>
        <w:suppressAutoHyphens w:val="false"/>
        <w:spacing w:lineRule="auto" w:line="259" w:before="0" w:after="160"/>
        <w:contextualSpacing/>
        <w:rPr>
          <w:rFonts w:ascii="Calibri" w:hAnsi="Calibri" w:cs="" w:asciiTheme="minorHAnsi" w:cstheme="minorBidi" w:hAnsiTheme="minorHAnsi"/>
          <w:sz w:val="22"/>
          <w:szCs w:val="22"/>
        </w:rPr>
      </w:pPr>
      <w:r>
        <w:rPr>
          <w:color w:val="2C2C2C"/>
          <w:sz w:val="23"/>
          <w:szCs w:val="23"/>
        </w:rPr>
        <w:t xml:space="preserve">kamera cofania z monitorem, monitor min. 9’’ zamontowany w kabinie, kamera zamontowana na zabudowie beczki. Kąt widzenia kamery min. 170 st. Rozdzielczość min. </w:t>
      </w:r>
      <w:r>
        <w:rPr>
          <w:rFonts w:cs="Tahoma" w:ascii="Tahoma" w:hAnsi="Tahoma"/>
          <w:color w:val="000000"/>
          <w:sz w:val="20"/>
          <w:szCs w:val="20"/>
          <w:shd w:fill="FFFFFF" w:val="clear"/>
        </w:rPr>
        <w:t>733x493 doświetlenie diodami IR – praca w nocy.</w:t>
      </w:r>
    </w:p>
    <w:p>
      <w:pPr>
        <w:pStyle w:val="ListParagraph"/>
        <w:ind w:left="1080" w:hanging="0"/>
        <w:rPr/>
      </w:pPr>
      <w:r>
        <w:rPr/>
      </w:r>
    </w:p>
    <w:p>
      <w:pPr>
        <w:pStyle w:val="ListParagraph"/>
        <w:numPr>
          <w:ilvl w:val="1"/>
          <w:numId w:val="55"/>
        </w:numPr>
        <w:suppressAutoHyphens w:val="false"/>
        <w:spacing w:lineRule="auto" w:line="259" w:before="0" w:after="160"/>
        <w:contextualSpacing/>
        <w:rPr>
          <w:b/>
          <w:b/>
          <w:bCs/>
        </w:rPr>
      </w:pPr>
      <w:r>
        <w:rPr>
          <w:b/>
          <w:bCs/>
        </w:rPr>
        <w:t>Zabudowa asenizacyjna:</w:t>
      </w:r>
    </w:p>
    <w:p>
      <w:pPr>
        <w:pStyle w:val="ListParagraph"/>
        <w:numPr>
          <w:ilvl w:val="2"/>
          <w:numId w:val="55"/>
        </w:numPr>
        <w:suppressAutoHyphens w:val="false"/>
        <w:spacing w:lineRule="auto" w:line="259" w:before="0" w:after="160"/>
        <w:contextualSpacing/>
        <w:rPr/>
      </w:pPr>
      <w:r>
        <w:rPr/>
        <w:t>Nowa zabudowa – rok produkcji 2022</w:t>
      </w:r>
    </w:p>
    <w:p>
      <w:pPr>
        <w:pStyle w:val="ListParagraph"/>
        <w:numPr>
          <w:ilvl w:val="2"/>
          <w:numId w:val="55"/>
        </w:numPr>
        <w:suppressAutoHyphens w:val="false"/>
        <w:spacing w:lineRule="auto" w:line="259" w:before="0" w:after="160"/>
        <w:contextualSpacing/>
        <w:rPr/>
      </w:pPr>
      <w:r>
        <w:rPr/>
        <w:t>Pojemność zbiornika – nie mniejsza lub równa  10 m3 i nie większa lub równa 12 m3</w:t>
      </w:r>
    </w:p>
    <w:p>
      <w:pPr>
        <w:pStyle w:val="ListParagraph"/>
        <w:numPr>
          <w:ilvl w:val="2"/>
          <w:numId w:val="55"/>
        </w:numPr>
        <w:suppressAutoHyphens w:val="false"/>
        <w:spacing w:lineRule="auto" w:line="259" w:before="0" w:after="160"/>
        <w:contextualSpacing/>
        <w:rPr/>
      </w:pPr>
      <w:r>
        <w:rPr>
          <w:color w:val="2C2C2C"/>
          <w:sz w:val="23"/>
          <w:szCs w:val="23"/>
        </w:rPr>
        <w:t>napęd na wałek kardana</w:t>
      </w:r>
    </w:p>
    <w:p>
      <w:pPr>
        <w:pStyle w:val="ListParagraph"/>
        <w:numPr>
          <w:ilvl w:val="2"/>
          <w:numId w:val="55"/>
        </w:numPr>
        <w:suppressAutoHyphens w:val="false"/>
        <w:spacing w:lineRule="auto" w:line="259" w:before="0" w:after="160"/>
        <w:contextualSpacing/>
        <w:rPr/>
      </w:pPr>
      <w:r>
        <w:rPr/>
        <w:t>Zbiornik cylindryczny, wykonany z blachy stalowej grubości nie mniejszej niż 5 mm. wzmocniony pierścieniami zewnętrznymi. Pokryty zewnętrzną warstwa malarską odporną na warunki atmosferyczne.</w:t>
      </w:r>
    </w:p>
    <w:p>
      <w:pPr>
        <w:pStyle w:val="ListParagraph"/>
        <w:numPr>
          <w:ilvl w:val="2"/>
          <w:numId w:val="55"/>
        </w:numPr>
        <w:suppressAutoHyphens w:val="false"/>
        <w:spacing w:lineRule="auto" w:line="259" w:before="0" w:after="160"/>
        <w:contextualSpacing/>
        <w:rPr/>
      </w:pPr>
      <w:r>
        <w:rPr/>
        <w:t>Zabezpieczenie beczki asenizacyjnej od środka powłoką zabezpieczające przed agresywnym działaniem ścieków oraz ich par – co najmniej dwukrotne nałożenie powłoki.</w:t>
      </w:r>
    </w:p>
    <w:p>
      <w:pPr>
        <w:pStyle w:val="ListParagraph"/>
        <w:numPr>
          <w:ilvl w:val="2"/>
          <w:numId w:val="55"/>
        </w:numPr>
        <w:suppressAutoHyphens w:val="false"/>
        <w:spacing w:lineRule="auto" w:line="259" w:before="0" w:after="160"/>
        <w:contextualSpacing/>
        <w:rPr/>
      </w:pPr>
      <w:r>
        <w:rPr/>
        <w:t>Nachylenie zbiornika ok 4 do 6 stopni,</w:t>
      </w:r>
    </w:p>
    <w:p>
      <w:pPr>
        <w:pStyle w:val="ListParagraph"/>
        <w:numPr>
          <w:ilvl w:val="2"/>
          <w:numId w:val="55"/>
        </w:numPr>
        <w:suppressAutoHyphens w:val="false"/>
        <w:spacing w:lineRule="auto" w:line="259" w:before="0" w:after="160"/>
        <w:contextualSpacing/>
        <w:rPr/>
      </w:pPr>
      <w:r>
        <w:rPr/>
        <w:t xml:space="preserve">Zbiornik wyposażony w  przegrody wewnętrzne (falochrony) Co najmniej 2 przegrody. Każda z przegród powinna być równa co najmniej 2/3 powierzchni przekroju zbiornika </w:t>
      </w:r>
    </w:p>
    <w:p>
      <w:pPr>
        <w:pStyle w:val="ListParagraph"/>
        <w:numPr>
          <w:ilvl w:val="2"/>
          <w:numId w:val="55"/>
        </w:numPr>
        <w:suppressAutoHyphens w:val="false"/>
        <w:spacing w:lineRule="auto" w:line="259" w:before="0" w:after="160"/>
        <w:contextualSpacing/>
        <w:rPr/>
      </w:pPr>
      <w:r>
        <w:rPr/>
        <w:t>Kompresor ssąco – tłoczący napęd hydrauliczny; wbudowany zawór czterodrogowy (ssanie/wypychanie), automatyczne smarowanie pompy, Pompa przystosowana do pracy przerywanej praca ciągła min. 15 min. Chłodzenie powietrzem atmosferycznym. Obroty lewe lub prawe do 1100 obr/min. Wydajność pomy nie mniej niż 10 000 l/min.</w:t>
      </w:r>
    </w:p>
    <w:p>
      <w:pPr>
        <w:pStyle w:val="ListParagraph"/>
        <w:numPr>
          <w:ilvl w:val="2"/>
          <w:numId w:val="55"/>
        </w:numPr>
        <w:suppressAutoHyphens w:val="false"/>
        <w:spacing w:lineRule="auto" w:line="259" w:before="0" w:after="160"/>
        <w:contextualSpacing/>
        <w:rPr/>
      </w:pPr>
      <w:r>
        <w:rPr>
          <w:color w:val="2C2C2C"/>
          <w:sz w:val="23"/>
          <w:szCs w:val="23"/>
        </w:rPr>
        <w:t>dennica tylna otwierana ręcznie lub automatycznie</w:t>
      </w:r>
    </w:p>
    <w:p>
      <w:pPr>
        <w:pStyle w:val="ListParagraph"/>
        <w:numPr>
          <w:ilvl w:val="2"/>
          <w:numId w:val="55"/>
        </w:numPr>
        <w:suppressAutoHyphens w:val="false"/>
        <w:spacing w:lineRule="auto" w:line="259" w:before="0" w:after="160"/>
        <w:contextualSpacing/>
        <w:rPr/>
      </w:pPr>
      <w:r>
        <w:rPr/>
        <w:t>pływakowy zawór regulacyjny umieszczony w najwyższym punkcie zbiornika dla zabezpieczenia przed przepływem nieczystości ze zbiornika do układu ssącego.</w:t>
      </w:r>
    </w:p>
    <w:p>
      <w:pPr>
        <w:pStyle w:val="ListParagraph"/>
        <w:numPr>
          <w:ilvl w:val="2"/>
          <w:numId w:val="55"/>
        </w:numPr>
        <w:suppressAutoHyphens w:val="false"/>
        <w:spacing w:lineRule="auto" w:line="259" w:before="0" w:after="160"/>
        <w:contextualSpacing/>
        <w:rPr/>
      </w:pPr>
      <w:r>
        <w:rPr/>
        <w:t>Odstojnik, w celu niedopuszczenia do zalania pompy próżniowej.</w:t>
      </w:r>
    </w:p>
    <w:p>
      <w:pPr>
        <w:pStyle w:val="ListParagraph"/>
        <w:numPr>
          <w:ilvl w:val="2"/>
          <w:numId w:val="55"/>
        </w:numPr>
        <w:suppressAutoHyphens w:val="false"/>
        <w:spacing w:lineRule="auto" w:line="259" w:before="0" w:after="160"/>
        <w:contextualSpacing/>
        <w:rPr/>
      </w:pPr>
      <w:r>
        <w:rPr/>
        <w:t>Zawór bezpieczeństwa zabezpieczający przed nadmiernym wzrostem cienienia w zbiorniku.</w:t>
      </w:r>
    </w:p>
    <w:p>
      <w:pPr>
        <w:pStyle w:val="ListParagraph"/>
        <w:numPr>
          <w:ilvl w:val="2"/>
          <w:numId w:val="55"/>
        </w:numPr>
        <w:suppressAutoHyphens w:val="false"/>
        <w:spacing w:lineRule="auto" w:line="259" w:before="0" w:after="160"/>
        <w:contextualSpacing/>
        <w:rPr/>
      </w:pPr>
      <w:r>
        <w:rPr/>
        <w:t>Zawór zwrotny umieszczony w układzie ssąco-tłoczącym w celu zabezpieczenia wypływu powietrza ze zbiornika w przypadku, gdy pompa próżniowa zostanie wyłączona.</w:t>
      </w:r>
    </w:p>
    <w:p>
      <w:pPr>
        <w:pStyle w:val="ListParagraph"/>
        <w:numPr>
          <w:ilvl w:val="2"/>
          <w:numId w:val="55"/>
        </w:numPr>
        <w:suppressAutoHyphens w:val="false"/>
        <w:spacing w:lineRule="auto" w:line="259" w:before="0" w:after="160"/>
        <w:contextualSpacing/>
        <w:rPr/>
      </w:pPr>
      <w:r>
        <w:rPr/>
        <w:t>Zawór dolnego ssania, za pomocą którego odbywa się opróżnianie zbiornika, zakończony łącznikiem do mocowania węża z zaślepka zamykającą.</w:t>
      </w:r>
    </w:p>
    <w:p>
      <w:pPr>
        <w:pStyle w:val="ListParagraph"/>
        <w:numPr>
          <w:ilvl w:val="2"/>
          <w:numId w:val="55"/>
        </w:numPr>
        <w:suppressAutoHyphens w:val="false"/>
        <w:spacing w:lineRule="auto" w:line="259" w:before="0" w:after="160"/>
        <w:contextualSpacing/>
        <w:rPr/>
      </w:pPr>
      <w:r>
        <w:rPr/>
        <w:t>Manowakuometr.</w:t>
      </w:r>
    </w:p>
    <w:p>
      <w:pPr>
        <w:pStyle w:val="ListParagraph"/>
        <w:numPr>
          <w:ilvl w:val="2"/>
          <w:numId w:val="55"/>
        </w:numPr>
        <w:suppressAutoHyphens w:val="false"/>
        <w:spacing w:lineRule="auto" w:line="259" w:before="0" w:after="160"/>
        <w:contextualSpacing/>
        <w:rPr/>
      </w:pPr>
      <w:r>
        <w:rPr/>
        <w:t>Wskaźnik płynu ze skalą służący do określenia ilości pobranych ścieków.</w:t>
      </w:r>
    </w:p>
    <w:p>
      <w:pPr>
        <w:pStyle w:val="ListParagraph"/>
        <w:numPr>
          <w:ilvl w:val="2"/>
          <w:numId w:val="55"/>
        </w:numPr>
        <w:suppressAutoHyphens w:val="false"/>
        <w:spacing w:lineRule="auto" w:line="259" w:before="0" w:after="160"/>
        <w:contextualSpacing/>
        <w:rPr/>
      </w:pPr>
      <w:r>
        <w:rPr/>
        <w:t>Pojazdy asenizacyjny musi  być wyposażony w szczelną instalację, szczelny zbiornik oraz w sprawny układ sterowania systemu napełniającego i opróżniającego zbiornik.</w:t>
      </w:r>
    </w:p>
    <w:p>
      <w:pPr>
        <w:pStyle w:val="ListParagraph"/>
        <w:numPr>
          <w:ilvl w:val="2"/>
          <w:numId w:val="55"/>
        </w:numPr>
        <w:suppressAutoHyphens w:val="false"/>
        <w:spacing w:lineRule="auto" w:line="259" w:before="0" w:after="160"/>
        <w:contextualSpacing/>
        <w:rPr>
          <w:sz w:val="23"/>
          <w:szCs w:val="23"/>
        </w:rPr>
      </w:pPr>
      <w:r>
        <w:rPr>
          <w:sz w:val="23"/>
          <w:szCs w:val="23"/>
        </w:rPr>
        <w:t>Halogeny robocze LED minimum dwie sztuki w tym jeden na dennicy na tyle pojazdu, drugi oświetlający kompresor ssąco-tłoczący.</w:t>
      </w:r>
    </w:p>
    <w:p>
      <w:pPr>
        <w:pStyle w:val="ListParagraph"/>
        <w:numPr>
          <w:ilvl w:val="2"/>
          <w:numId w:val="55"/>
        </w:numPr>
        <w:suppressAutoHyphens w:val="false"/>
        <w:spacing w:lineRule="auto" w:line="259" w:before="0" w:after="160"/>
        <w:contextualSpacing/>
        <w:rPr>
          <w:sz w:val="23"/>
          <w:szCs w:val="23"/>
        </w:rPr>
      </w:pPr>
      <w:r>
        <w:rPr/>
        <w:t>Tłumik – odzyskiwacz oleju</w:t>
      </w:r>
    </w:p>
    <w:p>
      <w:pPr>
        <w:pStyle w:val="ListParagraph"/>
        <w:numPr>
          <w:ilvl w:val="2"/>
          <w:numId w:val="55"/>
        </w:numPr>
        <w:suppressAutoHyphens w:val="false"/>
        <w:spacing w:lineRule="auto" w:line="259" w:before="0" w:after="160"/>
        <w:contextualSpacing/>
        <w:rPr>
          <w:sz w:val="23"/>
          <w:szCs w:val="23"/>
        </w:rPr>
      </w:pPr>
      <w:r>
        <w:rPr/>
        <w:t>Rynny na węże po obu stronach beczki, nachylone z lekkim spadkiem na tył beczki, wykonane z blachy aluminiowej o grubości 3 mm lub blachy ocynkowanej min 2 mm grubości  z zaworkami spustowymi o długości odpowiedniej do konstrukcji zbiornika, mieszczące się w szerokości zestawu.</w:t>
      </w:r>
    </w:p>
    <w:p>
      <w:pPr>
        <w:pStyle w:val="ListParagraph"/>
        <w:numPr>
          <w:ilvl w:val="2"/>
          <w:numId w:val="55"/>
        </w:numPr>
        <w:suppressAutoHyphens w:val="false"/>
        <w:spacing w:lineRule="auto" w:line="259" w:before="0" w:after="160"/>
        <w:contextualSpacing/>
        <w:rPr>
          <w:sz w:val="23"/>
          <w:szCs w:val="23"/>
        </w:rPr>
      </w:pPr>
      <w:r>
        <w:rPr>
          <w:sz w:val="23"/>
          <w:szCs w:val="23"/>
        </w:rPr>
        <w:t>Konstrukcja na dennicy  na węże, umożliwiająca ich przełożenie pomiędzy rynnami.</w:t>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Załącznik nr 2 do SWZ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Wykonawca:</w:t>
      </w:r>
    </w:p>
    <w:p>
      <w:pPr>
        <w:pStyle w:val="Normal"/>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right="5670" w:hanging="0"/>
        <w:jc w:val="center"/>
        <w:rPr>
          <w:rFonts w:ascii="Times New Roman" w:hAnsi="Times New Roman" w:eastAsia="Times New Roman" w:cs="Times New Roman"/>
          <w:sz w:val="24"/>
          <w:szCs w:val="24"/>
          <w:lang w:eastAsia="pl-PL"/>
        </w:rPr>
      </w:pPr>
      <w:bookmarkStart w:id="21" w:name="_Hlk62464762"/>
      <w:r>
        <w:rPr>
          <w:rFonts w:eastAsia="Times New Roman" w:cs="Times New Roman" w:ascii="Times New Roman" w:hAnsi="Times New Roman"/>
          <w:lang w:eastAsia="pl-PL"/>
        </w:rPr>
        <w:t>………………………………</w:t>
      </w:r>
      <w:r>
        <w:rPr>
          <w:rFonts w:eastAsia="Times New Roman" w:cs="Times New Roman" w:ascii="Times New Roman" w:hAnsi="Times New Roman"/>
          <w:lang w:eastAsia="pl-PL"/>
        </w:rPr>
        <w:t>.………</w:t>
      </w:r>
      <w:bookmarkEnd w:id="21"/>
    </w:p>
    <w:p>
      <w:pPr>
        <w:pStyle w:val="Normal"/>
        <w:spacing w:lineRule="auto" w:line="240" w:before="0" w:after="0"/>
        <w:ind w:right="5670"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i/>
          <w:sz w:val="18"/>
          <w:szCs w:val="18"/>
          <w:lang w:eastAsia="pl-PL"/>
        </w:rPr>
        <w:t>(pełna nazwa/firma, adres, w zależności</w:t>
      </w:r>
    </w:p>
    <w:p>
      <w:pPr>
        <w:pStyle w:val="Normal"/>
        <w:spacing w:lineRule="auto" w:line="240" w:before="0" w:after="0"/>
        <w:ind w:right="595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i/>
          <w:sz w:val="18"/>
          <w:szCs w:val="18"/>
          <w:lang w:eastAsia="pl-PL"/>
        </w:rPr>
        <w:t>od podmiotu: NIP/PESEL, KRS/CEiDG)</w:t>
      </w:r>
    </w:p>
    <w:p>
      <w:pPr>
        <w:pStyle w:val="Normal"/>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caps/>
          <w:lang w:eastAsia="pl-PL"/>
        </w:rPr>
        <w:t xml:space="preserve">Oświadczenie o BRAKU PODSTAW DO WYKLUCZENIA Z POSTĘPOWANIA  </w:t>
      </w:r>
    </w:p>
    <w:p>
      <w:pPr>
        <w:pStyle w:val="Normal"/>
        <w:shd w:val="clear" w:color="auto" w:fill="FFFFFF"/>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caps/>
          <w:lang w:eastAsia="pl-PL"/>
        </w:rPr>
        <w:t>O UDZIELENIE ZAMÓWIENIA</w:t>
      </w:r>
      <w:r>
        <w:rPr>
          <w:rFonts w:eastAsia="Times New Roman" w:cs="Times New Roman" w:ascii="Times New Roman" w:hAnsi="Times New Roman"/>
          <w:b/>
          <w:caps/>
          <w:vertAlign w:val="superscript"/>
          <w:lang w:eastAsia="pl-PL"/>
        </w:rPr>
        <w:t>1</w:t>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rPr/>
      </w:pPr>
      <w:r>
        <w:rPr>
          <w:rFonts w:eastAsia="Calibri" w:cs="Times New Roman" w:ascii="Times New Roman" w:hAnsi="Times New Roman"/>
        </w:rPr>
        <w:t xml:space="preserve">Na potrzeby postępowania o udzielenie zamówienia publicznego pn. </w:t>
      </w:r>
      <w:r>
        <w:rPr>
          <w:b/>
          <w:bCs/>
        </w:rPr>
        <w:t>Zakup wraz z dostawą pojazdów specjalnych asenizacyjnych do wywozu nieczystości ścieków”</w:t>
      </w:r>
      <w:r>
        <w:rPr/>
        <w:t xml:space="preserve"> </w:t>
      </w:r>
      <w:r>
        <w:rPr>
          <w:rFonts w:eastAsia="Calibri" w:cs="Times New Roman" w:ascii="Times New Roman" w:hAnsi="Times New Roman"/>
        </w:rPr>
        <w:t xml:space="preserve">prowadzonego przez </w:t>
      </w:r>
      <w:r>
        <w:rPr>
          <w:rFonts w:eastAsia="Times New Roman" w:cs="Times New Roman" w:ascii="Times New Roman" w:hAnsi="Times New Roman"/>
          <w:b/>
          <w:bCs/>
          <w:sz w:val="21"/>
          <w:szCs w:val="21"/>
          <w:lang w:eastAsia="pl-PL"/>
        </w:rPr>
        <w:t>Gminny Zakład Gospodarki Komunalnej w Żórawinie</w:t>
      </w:r>
      <w:r>
        <w:rPr>
          <w:rFonts w:eastAsia="Calibri" w:cs="Times New Roman" w:ascii="Times New Roman" w:hAnsi="Times New Roman"/>
          <w:i/>
          <w:iCs/>
        </w:rPr>
        <w:t>,</w:t>
      </w:r>
      <w:r>
        <w:rPr>
          <w:u w:val="single"/>
        </w:rPr>
        <w:t xml:space="preserve"> oświadczam</w:t>
      </w:r>
      <w:r>
        <w:rPr/>
        <w:t xml:space="preserve">, że na dzień składania ofert nie podlegam wykluczeniu             z postępowania na podstawie art. 108 ust 1 ustawy Pzp oraz </w:t>
      </w:r>
      <w:r>
        <w:rPr>
          <w:bCs/>
        </w:rPr>
        <w:t>art. 7 ust. 1 ustawy z dnia 13 kwietnia 2022 r. o szczególnych rozwiązaniach w zakresie przeciwdziałania wspieraniu agresji na Ukrainę oraz służących ochronie bezpieczeństwa narodowego (Dz. U. 2022 poz. 835)</w:t>
      </w:r>
      <w:r>
        <w:rPr/>
        <w:t>.</w:t>
      </w:r>
    </w:p>
    <w:p>
      <w:pPr>
        <w:pStyle w:val="Normal"/>
        <w:spacing w:before="0" w:after="120"/>
        <w:jc w:val="both"/>
        <w:rPr/>
      </w:pPr>
      <w:r>
        <w:rPr>
          <w:u w:val="single"/>
        </w:rPr>
        <w:t>Oświadczam</w:t>
      </w:r>
      <w:r>
        <w:rPr/>
        <w:t xml:space="preserve">, że zachodzą w stosunku do mnie podstawy wykluczenia z postępowania na podstawie  art. …………. ustawy Pzp </w:t>
      </w:r>
      <w:r>
        <w:rPr>
          <w:i/>
        </w:rPr>
        <w:t xml:space="preserve">(podać mającą zastosowanie podstawę wykluczenia spośród wymienionych w art. 108 ust. 1 pkt 1, 2 lub 5  ustawy Pzp). </w:t>
      </w:r>
      <w:r>
        <w:rPr/>
        <w:t>Jednocześnie oświadczam, że w związku z ww. okolicznością, na podstawie art. 110 ust. 2 ustawy Pzp podjąłem następujące środki naprawcze:</w:t>
      </w:r>
    </w:p>
    <w:p>
      <w:pPr>
        <w:pStyle w:val="Normal"/>
        <w:jc w:val="both"/>
        <w:rPr/>
      </w:pPr>
      <w:r>
        <w:rPr/>
        <w:t>……………………………………………………………………………………………………</w:t>
      </w:r>
      <w:r>
        <w:rPr/>
        <w:t>.………………………………………………...</w:t>
      </w:r>
    </w:p>
    <w:p>
      <w:pPr>
        <w:pStyle w:val="Normal"/>
        <w:jc w:val="both"/>
        <w:rPr/>
      </w:pPr>
      <w:r>
        <w:rPr/>
        <w:t>…………………………………………………………………………………………</w:t>
      </w:r>
      <w:r>
        <w:rPr/>
        <w:t>..………..…………...........…………………………………</w:t>
      </w:r>
    </w:p>
    <w:p>
      <w:pPr>
        <w:pStyle w:val="Normal"/>
        <w:jc w:val="both"/>
        <w:rPr>
          <w:i/>
          <w:i/>
        </w:rPr>
      </w:pPr>
      <w:r>
        <w:rPr/>
        <w:t>..........…………………………………………………………………………………………….………………</w:t>
        <w:tab/>
        <w:tab/>
        <w:tab/>
      </w:r>
    </w:p>
    <w:p>
      <w:pPr>
        <w:pStyle w:val="Normal"/>
        <w:jc w:val="both"/>
        <w:rPr/>
      </w:pPr>
      <w:r>
        <w:rPr>
          <w:u w:val="single"/>
        </w:rPr>
        <w:t>Oświadczam</w:t>
      </w:r>
      <w:r>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vertAlign w:val="superscript"/>
          <w:lang w:eastAsia="pl-PL"/>
        </w:rPr>
        <w:t>1</w:t>
      </w:r>
      <w:r>
        <w:rPr>
          <w:rFonts w:eastAsia="Times New Roman" w:cs="Times New Roman" w:ascii="Times New Roman" w:hAnsi="Times New Roman"/>
          <w:lang w:eastAsia="pl-PL"/>
        </w:rPr>
        <w:t xml:space="preserve"> </w:t>
      </w:r>
      <w:r>
        <w:rPr>
          <w:rFonts w:eastAsia="Times New Roman" w:cs="Times New Roman" w:ascii="Times New Roman" w:hAnsi="Times New Roman"/>
          <w:sz w:val="16"/>
          <w:szCs w:val="16"/>
          <w:lang w:eastAsia="pl-PL"/>
        </w:rPr>
        <w:t>Pouczenie o odpowiedzialności karnej Art. 297 § 1 Kodeksu karnego (Dz. U. Nr 88 poz. 553 z późn. zm.):</w:t>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24"/>
          <w:szCs w:val="24"/>
          <w:lang w:eastAsia="pl-PL"/>
        </w:rPr>
      </w:pPr>
      <w:r>
        <w:rPr>
          <w:rFonts w:eastAsia="Calibri" w:cs="Calibri" w:ascii="Times New Roman" w:hAnsi="Times New Roman"/>
          <w:sz w:val="16"/>
          <w:szCs w:val="16"/>
          <w:lang w:eastAsia="pl-PL"/>
        </w:rPr>
        <w:t>„</w:t>
      </w:r>
      <w:r>
        <w:rPr>
          <w:rFonts w:eastAsia="Calibri" w:cs="Calibri" w:ascii="Times New Roman" w:hAnsi="Times New Roman"/>
          <w:sz w:val="16"/>
          <w:szCs w:val="16"/>
          <w:u w:val="single"/>
          <w:lang w:eastAsia="pl-PL"/>
        </w:rPr>
        <w:t>Kto w celu uzyskania</w:t>
      </w:r>
      <w:r>
        <w:rPr>
          <w:rFonts w:eastAsia="Calibri" w:cs="Calibri"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24"/>
          <w:szCs w:val="24"/>
          <w:lang w:eastAsia="pl-PL"/>
        </w:rPr>
      </w:pPr>
      <w:r>
        <w:rPr>
          <w:rFonts w:eastAsia="Calibri" w:cs="Calibri" w:ascii="Times New Roman" w:hAnsi="Times New Roman"/>
          <w:sz w:val="16"/>
          <w:szCs w:val="16"/>
          <w:lang w:eastAsia="pl-PL"/>
        </w:rPr>
        <w:t>karze pozbawienia wolności od 3 miesięcy do lat 5.”</w:t>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keepNext w:val="true"/>
        <w:keepLines/>
        <w:numPr>
          <w:ilvl w:val="0"/>
          <w:numId w:val="0"/>
        </w:numPr>
        <w:spacing w:lineRule="auto" w:line="240" w:before="480" w:after="0"/>
        <w:ind w:left="0" w:hanging="0"/>
        <w:jc w:val="right"/>
        <w:outlineLvl w:val="0"/>
        <w:rPr>
          <w:rFonts w:ascii="Times New Roman" w:hAnsi="Times New Roman" w:eastAsia="Calibri Light" w:cs="Calibri Light"/>
          <w:b/>
          <w:b/>
          <w:bCs/>
          <w:color w:val="2F5496" w:themeColor="accent1" w:themeShade="bf"/>
          <w:sz w:val="28"/>
          <w:szCs w:val="28"/>
          <w:lang w:eastAsia="pl-PL"/>
        </w:rPr>
      </w:pPr>
      <w:bookmarkStart w:id="22" w:name="_Toc6901406"/>
      <w:r>
        <w:rPr>
          <w:rFonts w:eastAsia="Times New Roman" w:cs="Times New Roman" w:ascii="Times New Roman" w:hAnsi="Times New Roman"/>
          <w:b/>
          <w:bCs/>
          <w:color w:val="000000"/>
          <w:sz w:val="24"/>
          <w:szCs w:val="24"/>
          <w:lang w:eastAsia="pl-PL"/>
        </w:rPr>
        <w:t>Załącznik nr 3 do SWZ</w:t>
      </w:r>
      <w:bookmarkEnd w:id="22"/>
    </w:p>
    <w:p>
      <w:pPr>
        <w:pStyle w:val="Normal"/>
        <w:spacing w:lineRule="auto" w:line="240" w:before="0" w:after="12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t>WZÓR UMOWY NR ……/2022</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w:t>
      </w:r>
      <w:r>
        <w:rPr>
          <w:rFonts w:eastAsia="Times New Roman" w:cs="Times New Roman" w:ascii="Times New Roman" w:hAnsi="Times New Roman"/>
          <w:color w:val="FF0000"/>
          <w:sz w:val="24"/>
          <w:szCs w:val="24"/>
          <w:lang w:eastAsia="pl-PL"/>
        </w:rPr>
        <w:t xml:space="preserve">………………………………  </w:t>
      </w:r>
      <w:r>
        <w:rPr>
          <w:rFonts w:eastAsia="Times New Roman" w:cs="Times New Roman" w:ascii="Times New Roman" w:hAnsi="Times New Roman"/>
          <w:sz w:val="24"/>
          <w:szCs w:val="24"/>
          <w:lang w:eastAsia="pl-PL"/>
        </w:rPr>
        <w:t>– Dyrektora Zakładu,</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zwanym dalej Zamawiającym</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NIP ………………………………,</w:t>
        <w:tab/>
        <w:t>REGON ……………………………………………</w:t>
      </w:r>
    </w:p>
    <w:p>
      <w:pPr>
        <w:pStyle w:val="Normal"/>
        <w:numPr>
          <w:ilvl w:val="0"/>
          <w:numId w:val="31"/>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reprezentowanym przez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1"/>
          <w:numId w:val="31"/>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1"/>
          <w:numId w:val="31"/>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zwanym dalej Wykonawcą.</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Zakład Gospodarki Komunalnej w Żórawinie i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................................................................zawierają umowę o następującej treści:</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jc w:val="center"/>
        <w:rPr>
          <w:b/>
          <w:b/>
        </w:rPr>
      </w:pPr>
      <w:r>
        <w:rPr>
          <w:b/>
        </w:rPr>
        <w:t>§ 1 Przedmiot umowy</w:t>
      </w:r>
    </w:p>
    <w:p>
      <w:pPr>
        <w:pStyle w:val="Normal"/>
        <w:numPr>
          <w:ilvl w:val="2"/>
          <w:numId w:val="32"/>
        </w:numPr>
        <w:spacing w:lineRule="atLeast" w:line="100" w:before="0" w:after="0"/>
        <w:ind w:left="720" w:hanging="363"/>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Przedmiotem umowy jest dostawa przez </w:t>
      </w:r>
      <w:r>
        <w:rPr>
          <w:rFonts w:eastAsia="Times New Roman" w:cs="Times New Roman" w:ascii="Times New Roman" w:hAnsi="Times New Roman"/>
          <w:b/>
          <w:lang w:eastAsia="pl-PL"/>
        </w:rPr>
        <w:t>Wykonawcę</w:t>
      </w:r>
      <w:r>
        <w:rPr>
          <w:rFonts w:eastAsia="Times New Roman" w:cs="Times New Roman" w:ascii="Times New Roman" w:hAnsi="Times New Roman"/>
          <w:lang w:eastAsia="pl-PL"/>
        </w:rPr>
        <w:t xml:space="preserve"> na rzecz </w:t>
      </w:r>
      <w:r>
        <w:rPr>
          <w:rFonts w:eastAsia="Times New Roman" w:cs="Times New Roman" w:ascii="Times New Roman" w:hAnsi="Times New Roman"/>
          <w:b/>
          <w:lang w:eastAsia="pl-PL"/>
        </w:rPr>
        <w:t xml:space="preserve">Zamawiającego </w:t>
      </w:r>
      <w:r>
        <w:rPr/>
        <w:t>pojazdów specjalnych asenizacyjnych do wywozu nieczystości ścieków”</w:t>
      </w:r>
      <w:r>
        <w:rPr>
          <w:rFonts w:eastAsia="Times New Roman" w:cs="Times New Roman" w:ascii="Times New Roman" w:hAnsi="Times New Roman"/>
          <w:sz w:val="24"/>
          <w:szCs w:val="24"/>
          <w:lang w:eastAsia="pl-PL"/>
        </w:rPr>
        <w:t xml:space="preserve"> zgodnych ze </w:t>
      </w:r>
      <w:r>
        <w:rPr>
          <w:rFonts w:eastAsia="Times New Roman" w:cs="Times New Roman" w:ascii="Times New Roman" w:hAnsi="Times New Roman"/>
          <w:lang w:eastAsia="pl-PL"/>
        </w:rPr>
        <w:t>Specyfikacją Warunków Zamówienia oraz ze złożoną ofertą o parametrach  jak  w Załączniku nr 1 oraz załączniku nr 1a  do umowy</w:t>
      </w:r>
      <w:r>
        <w:rPr>
          <w:rFonts w:eastAsia="Times New Roman" w:cs="Times New Roman" w:ascii="Times New Roman" w:hAnsi="Times New Roman"/>
          <w:sz w:val="24"/>
          <w:szCs w:val="24"/>
          <w:lang w:eastAsia="pl-PL"/>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left="284" w:hanging="0"/>
        <w:rPr>
          <w:b/>
          <w:b/>
          <w:u w:val="single"/>
        </w:rPr>
      </w:pPr>
      <w:r>
        <w:rPr>
          <w:b/>
          <w:u w:val="single"/>
        </w:rPr>
        <w:t xml:space="preserve">Zadanie nr 1** </w:t>
      </w:r>
      <w:r>
        <w:rPr>
          <w:b/>
          <w:bCs/>
        </w:rPr>
        <w:t>Zakup wraz z dostawą samochodu z beczką asenizacyjną o pojemności nie mniejszej  lub równej 15 m3 i nie większej lub równej 20 m3</w:t>
      </w:r>
    </w:p>
    <w:p>
      <w:pPr>
        <w:pStyle w:val="Normal"/>
        <w:spacing w:before="0" w:after="120"/>
        <w:ind w:left="284" w:hanging="0"/>
        <w:rPr>
          <w:b/>
          <w:b/>
        </w:rPr>
      </w:pPr>
      <w:r>
        <w:rPr>
          <w:b/>
        </w:rPr>
        <w:t xml:space="preserve">1. Cena brutto: ............................................................ </w:t>
      </w:r>
    </w:p>
    <w:p>
      <w:pPr>
        <w:pStyle w:val="Normal"/>
        <w:spacing w:before="0" w:after="120"/>
        <w:ind w:left="284" w:hanging="0"/>
        <w:rPr>
          <w:b/>
          <w:b/>
        </w:rPr>
      </w:pPr>
      <w:r>
        <w:rPr>
          <w:b/>
        </w:rPr>
        <w:t>(cena brutto słownie: ........................................................................................................................)</w:t>
      </w:r>
    </w:p>
    <w:p>
      <w:pPr>
        <w:pStyle w:val="Tekstpodstawowy21"/>
        <w:spacing w:before="0" w:after="120"/>
        <w:ind w:left="426" w:hanging="0"/>
        <w:jc w:val="both"/>
        <w:rPr/>
      </w:pPr>
      <w:r>
        <w:rPr/>
        <w:t>2.W przypadku powstania obowiązku podatkowego po stronie Zamawiającego kwota netto będzie jednocześnie kwotą brutto.</w:t>
      </w:r>
    </w:p>
    <w:p>
      <w:pPr>
        <w:pStyle w:val="Normal"/>
        <w:ind w:left="425" w:hanging="0"/>
        <w:rPr>
          <w:b/>
          <w:b/>
          <w:bCs/>
          <w:sz w:val="18"/>
          <w:szCs w:val="18"/>
        </w:rPr>
      </w:pPr>
      <w:r>
        <w:rPr>
          <w:b/>
          <w:bCs/>
          <w:sz w:val="18"/>
          <w:szCs w:val="18"/>
        </w:rPr>
        <w:t>* niepotrzebne skreślić</w:t>
      </w:r>
    </w:p>
    <w:p>
      <w:pPr>
        <w:pStyle w:val="Normal"/>
        <w:ind w:firstLine="284"/>
        <w:jc w:val="both"/>
        <w:rPr>
          <w:b/>
          <w:b/>
        </w:rPr>
      </w:pPr>
      <w:r>
        <w:rPr>
          <w:b/>
        </w:rPr>
        <w:t xml:space="preserve">Okres gwarancji na…………….: ………  dni (min. 30 dni) </w:t>
      </w:r>
    </w:p>
    <w:p>
      <w:pPr>
        <w:pStyle w:val="Normal"/>
        <w:ind w:firstLine="284"/>
        <w:jc w:val="both"/>
        <w:rPr>
          <w:b/>
          <w:b/>
        </w:rPr>
      </w:pPr>
      <w:r>
        <w:rPr>
          <w:b/>
        </w:rPr>
        <w:t>Okres gwarancji na…………….: …………. m-cy (min 12 miesięcy)</w:t>
      </w:r>
    </w:p>
    <w:p>
      <w:pPr>
        <w:pStyle w:val="Normal"/>
        <w:ind w:firstLine="284"/>
        <w:jc w:val="both"/>
        <w:rPr>
          <w:b/>
          <w:b/>
        </w:rPr>
      </w:pPr>
      <w:bookmarkStart w:id="23" w:name="_Hlk74308541"/>
      <w:r>
        <w:rPr>
          <w:b/>
        </w:rPr>
        <w:t>Oferowana marka i model samochodu  oraz pojemność beczki ………………………………………</w:t>
      </w:r>
      <w:bookmarkEnd w:id="23"/>
    </w:p>
    <w:p>
      <w:pPr>
        <w:pStyle w:val="Normal"/>
        <w:ind w:firstLine="284"/>
        <w:jc w:val="both"/>
        <w:rPr>
          <w:b/>
          <w:b/>
        </w:rPr>
      </w:pPr>
      <w:r>
        <w:rPr>
          <w:b/>
        </w:rPr>
        <w:t>NR VIN Nadwozia …………………………………………………………………………………………………………..</w:t>
      </w:r>
    </w:p>
    <w:p>
      <w:pPr>
        <w:pStyle w:val="Normal"/>
        <w:ind w:firstLine="284"/>
        <w:jc w:val="both"/>
        <w:rPr>
          <w:b/>
          <w:b/>
        </w:rPr>
      </w:pPr>
      <w:r>
        <w:rPr>
          <w:b/>
        </w:rPr>
      </w:r>
    </w:p>
    <w:p>
      <w:pPr>
        <w:pStyle w:val="Normal"/>
        <w:rPr>
          <w:b/>
          <w:b/>
          <w:bCs/>
        </w:rPr>
      </w:pPr>
      <w:r>
        <w:rPr>
          <w:b/>
          <w:u w:val="single"/>
        </w:rPr>
        <w:t>Zadanie nr 2**</w:t>
      </w:r>
      <w:r>
        <w:rPr>
          <w:b/>
          <w:u w:val="single"/>
          <w:lang w:eastAsia="ar-SA"/>
        </w:rPr>
        <w:t xml:space="preserve"> </w:t>
      </w:r>
      <w:r>
        <w:rPr>
          <w:b/>
          <w:u w:val="single"/>
        </w:rPr>
        <w:t>Zakup wraz z dostawą samochodu z beczką asenizacyjną o pojemności nie mniejszej lub równej 10 m3 i nie większej lub równej 12 m3</w:t>
      </w:r>
    </w:p>
    <w:p>
      <w:pPr>
        <w:pStyle w:val="Normal"/>
        <w:ind w:left="284" w:hanging="0"/>
        <w:rPr>
          <w:b/>
          <w:b/>
        </w:rPr>
      </w:pPr>
      <w:r>
        <w:rPr>
          <w:b/>
        </w:rPr>
      </w:r>
    </w:p>
    <w:p>
      <w:pPr>
        <w:pStyle w:val="Normal"/>
        <w:spacing w:before="0" w:after="120"/>
        <w:ind w:left="284" w:hanging="0"/>
        <w:rPr>
          <w:b/>
          <w:b/>
        </w:rPr>
      </w:pPr>
      <w:r>
        <w:rPr>
          <w:b/>
        </w:rPr>
        <w:t xml:space="preserve">1.Cena brutto: ............................................................ </w:t>
      </w:r>
    </w:p>
    <w:p>
      <w:pPr>
        <w:pStyle w:val="Normal"/>
        <w:spacing w:before="0" w:after="120"/>
        <w:ind w:left="284" w:hanging="0"/>
        <w:rPr>
          <w:b/>
          <w:b/>
        </w:rPr>
      </w:pPr>
      <w:r>
        <w:rPr>
          <w:b/>
        </w:rPr>
        <w:t>(cena brutto słownie: ........................................................................................................................)</w:t>
      </w:r>
    </w:p>
    <w:p>
      <w:pPr>
        <w:pStyle w:val="Tekstpodstawowy21"/>
        <w:spacing w:before="0" w:after="120"/>
        <w:ind w:left="426" w:hanging="142"/>
        <w:jc w:val="both"/>
        <w:rPr/>
      </w:pPr>
      <w:r>
        <w:rPr>
          <w:b/>
          <w:bCs/>
        </w:rPr>
        <w:t>2.</w:t>
      </w:r>
      <w:r>
        <w:rPr/>
        <w:t>W przypadku powstania obowiązku podatkowego po stronie Zamawiającego kwota netto będzie jednocześnie kwotą brutto.</w:t>
      </w:r>
    </w:p>
    <w:p>
      <w:pPr>
        <w:pStyle w:val="Normal"/>
        <w:ind w:left="425" w:hanging="0"/>
        <w:rPr>
          <w:b/>
          <w:b/>
          <w:bCs/>
          <w:sz w:val="18"/>
          <w:szCs w:val="18"/>
        </w:rPr>
      </w:pPr>
      <w:r>
        <w:rPr>
          <w:b/>
          <w:bCs/>
          <w:sz w:val="18"/>
          <w:szCs w:val="18"/>
        </w:rPr>
        <w:t>* niepotrzebne skreślić</w:t>
      </w:r>
    </w:p>
    <w:p>
      <w:pPr>
        <w:pStyle w:val="Normal"/>
        <w:ind w:firstLine="284"/>
        <w:jc w:val="both"/>
        <w:rPr>
          <w:b/>
          <w:b/>
        </w:rPr>
      </w:pPr>
      <w:r>
        <w:rPr>
          <w:b/>
        </w:rPr>
        <w:t xml:space="preserve">Okres gwarancji na…………….: ………  dni (min. 30 dni) </w:t>
      </w:r>
    </w:p>
    <w:p>
      <w:pPr>
        <w:pStyle w:val="Normal"/>
        <w:ind w:firstLine="284"/>
        <w:jc w:val="both"/>
        <w:rPr>
          <w:b/>
          <w:b/>
        </w:rPr>
      </w:pPr>
      <w:r>
        <w:rPr>
          <w:b/>
        </w:rPr>
        <w:t>Okres gwarancji na…………….: …………. m-cy (min 12 miesięcy)</w:t>
      </w:r>
    </w:p>
    <w:p>
      <w:pPr>
        <w:pStyle w:val="Normal"/>
        <w:ind w:firstLine="284"/>
        <w:jc w:val="both"/>
        <w:rPr>
          <w:b/>
          <w:b/>
        </w:rPr>
      </w:pPr>
      <w:r>
        <w:rPr>
          <w:b/>
        </w:rPr>
        <w:t>Oferowana marka i model samochodu  oraz pojemność beczki ……………………………………</w:t>
      </w:r>
    </w:p>
    <w:p>
      <w:pPr>
        <w:pStyle w:val="Normal"/>
        <w:ind w:firstLine="284"/>
        <w:jc w:val="both"/>
        <w:rPr>
          <w:b/>
          <w:b/>
        </w:rPr>
      </w:pPr>
      <w:r>
        <w:rPr>
          <w:b/>
        </w:rPr>
        <w:t>NR VIN Nadwozia …………………………………………………………………………………………………………..</w:t>
      </w:r>
    </w:p>
    <w:p>
      <w:pPr>
        <w:pStyle w:val="Normal"/>
        <w:jc w:val="center"/>
        <w:rPr>
          <w:b/>
          <w:b/>
        </w:rPr>
      </w:pPr>
      <w:r>
        <w:rPr>
          <w:b/>
        </w:rPr>
        <w:t>§ 2 Realizacja przedmiotu umowy</w:t>
      </w:r>
    </w:p>
    <w:p>
      <w:pPr>
        <w:pStyle w:val="ListParagraph"/>
        <w:numPr>
          <w:ilvl w:val="0"/>
          <w:numId w:val="48"/>
        </w:numPr>
        <w:suppressAutoHyphens w:val="false"/>
        <w:rPr>
          <w:sz w:val="22"/>
          <w:szCs w:val="22"/>
        </w:rPr>
      </w:pPr>
      <w:r>
        <w:rPr>
          <w:sz w:val="22"/>
          <w:szCs w:val="22"/>
        </w:rPr>
        <w:t>Wykonawca dostarczy Zamawiającemu   przedmiot umowy w terminie nie dłuższym niż:</w:t>
      </w:r>
    </w:p>
    <w:p>
      <w:pPr>
        <w:pStyle w:val="ListParagraph"/>
        <w:ind w:left="360" w:hanging="0"/>
        <w:rPr>
          <w:sz w:val="22"/>
          <w:szCs w:val="22"/>
        </w:rPr>
      </w:pPr>
      <w:r>
        <w:rPr>
          <w:sz w:val="22"/>
          <w:szCs w:val="22"/>
        </w:rPr>
        <w:t>w zakresie zadania nr 1 do 14dni kalendarzowych  od daty podpisania umowy.</w:t>
      </w:r>
    </w:p>
    <w:p>
      <w:pPr>
        <w:pStyle w:val="ListParagraph"/>
        <w:ind w:left="360" w:hanging="0"/>
        <w:rPr>
          <w:sz w:val="22"/>
          <w:szCs w:val="22"/>
        </w:rPr>
      </w:pPr>
      <w:r>
        <w:rPr>
          <w:sz w:val="22"/>
          <w:szCs w:val="22"/>
        </w:rPr>
        <w:t>w zakresie zadania nr 2 do 14 dni kalendarzowych od daty podpisania umowy.</w:t>
      </w:r>
    </w:p>
    <w:p>
      <w:pPr>
        <w:pStyle w:val="Normal"/>
        <w:widowControl w:val="false"/>
        <w:numPr>
          <w:ilvl w:val="0"/>
          <w:numId w:val="48"/>
        </w:numPr>
        <w:spacing w:lineRule="auto" w:line="240" w:before="0" w:after="0"/>
        <w:jc w:val="both"/>
        <w:rPr/>
      </w:pPr>
      <w:r>
        <w:rPr/>
        <w:t>Dostawa będzie dokonana transportem Wykonawcy na jego koszt i ryzyko. Wykonawca zobowiązany jest dostarczyć przedmiot umowy na teren oczyszczalni ścieków w Żórawinie Al. Niepodległości 80, 55 – 020 Żórawina.</w:t>
      </w:r>
    </w:p>
    <w:p>
      <w:pPr>
        <w:pStyle w:val="Normal"/>
        <w:numPr>
          <w:ilvl w:val="0"/>
          <w:numId w:val="48"/>
        </w:numPr>
        <w:spacing w:lineRule="auto" w:line="240" w:before="0" w:after="0"/>
        <w:jc w:val="both"/>
        <w:rPr/>
      </w:pPr>
      <w:r>
        <w:rPr/>
        <w:t>Z okoliczności wydania i realizacji danej części przedmiotu umowy w ramach danego zadania strony sporządzą protokół zawierający wszelkie ustalenia dokonane w toku prac odbiorowych  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Po sprawdzeniu pojazdów Zamawiający podpisze protokół, o którym mowa w zdaniu poprzedzającym.</w:t>
      </w:r>
    </w:p>
    <w:p>
      <w:pPr>
        <w:pStyle w:val="Normal"/>
        <w:numPr>
          <w:ilvl w:val="0"/>
          <w:numId w:val="48"/>
        </w:numPr>
        <w:spacing w:lineRule="auto" w:line="240" w:before="0" w:after="0"/>
        <w:jc w:val="both"/>
        <w:rPr/>
      </w:pPr>
      <w:r>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2.</w:t>
      </w:r>
    </w:p>
    <w:p>
      <w:pPr>
        <w:pStyle w:val="Normal"/>
        <w:numPr>
          <w:ilvl w:val="0"/>
          <w:numId w:val="48"/>
        </w:numPr>
        <w:spacing w:lineRule="auto" w:line="240" w:before="0" w:after="0"/>
        <w:jc w:val="both"/>
        <w:rPr/>
      </w:pPr>
      <w:r>
        <w:rPr/>
        <w:t>Za datę sprzedaży uważa się datę podpisania przez Strony bezusterkowego protokołu odbioru bez zastrzeżeń będącego załącznikiem nr 2 do umowy. Podpisany bezusterkowy protokół odbioru bez zastrzeżeń stanowi podstawę do wystawienia faktury.</w:t>
      </w:r>
    </w:p>
    <w:p>
      <w:pPr>
        <w:pStyle w:val="Normal"/>
        <w:widowControl w:val="false"/>
        <w:numPr>
          <w:ilvl w:val="0"/>
          <w:numId w:val="48"/>
        </w:numPr>
        <w:spacing w:lineRule="auto" w:line="240" w:before="0" w:after="0"/>
        <w:jc w:val="both"/>
        <w:rPr/>
      </w:pPr>
      <w:r>
        <w:rPr/>
        <w:t>Sprzedaż wraz z dostawą uznaje się za kompletną w przypadku zrealizowania przedmiotu umowy          w ramach danego zadania i dostarczenia faktury.</w:t>
      </w:r>
    </w:p>
    <w:p>
      <w:pPr>
        <w:pStyle w:val="ListParagraph"/>
        <w:numPr>
          <w:ilvl w:val="0"/>
          <w:numId w:val="48"/>
        </w:numPr>
        <w:suppressAutoHyphens w:val="false"/>
        <w:jc w:val="both"/>
        <w:rPr>
          <w:sz w:val="22"/>
          <w:szCs w:val="22"/>
        </w:rPr>
      </w:pPr>
      <w:r>
        <w:rPr>
          <w:sz w:val="22"/>
          <w:szCs w:val="22"/>
        </w:rPr>
        <w:t xml:space="preserve">Osobą upoważnioną do kontaktów z Wykonawcą w sprawie realizacji przedmiotowego zamówienia po stronie Zamawiającego </w:t>
      </w:r>
      <w:r>
        <w:rPr>
          <w:color w:val="FF0000"/>
          <w:sz w:val="22"/>
          <w:szCs w:val="22"/>
        </w:rPr>
        <w:t>jest Pani/ Pan…………………………………………..</w:t>
      </w:r>
    </w:p>
    <w:p>
      <w:pPr>
        <w:pStyle w:val="ListParagraph"/>
        <w:numPr>
          <w:ilvl w:val="0"/>
          <w:numId w:val="48"/>
        </w:numPr>
        <w:suppressAutoHyphens w:val="false"/>
        <w:jc w:val="both"/>
        <w:rPr>
          <w:b/>
          <w:b/>
          <w:sz w:val="22"/>
          <w:szCs w:val="22"/>
        </w:rPr>
      </w:pPr>
      <w:r>
        <w:rPr>
          <w:sz w:val="22"/>
          <w:szCs w:val="22"/>
        </w:rPr>
        <w:t xml:space="preserve">Zamawiający wymaga, aby przedmiot umowy był wolny od wad technicznych </w:t>
        <w:br/>
        <w:t>i prawnych, dopuszczony do obrotu.</w:t>
      </w:r>
    </w:p>
    <w:p>
      <w:pPr>
        <w:pStyle w:val="ListParagraph"/>
        <w:suppressAutoHyphens w:val="false"/>
        <w:ind w:left="360" w:hanging="0"/>
        <w:jc w:val="both"/>
        <w:rPr>
          <w:b/>
          <w:b/>
          <w:sz w:val="22"/>
          <w:szCs w:val="22"/>
        </w:rPr>
      </w:pPr>
      <w:r>
        <w:rPr>
          <w:sz w:val="22"/>
          <w:szCs w:val="22"/>
        </w:rPr>
        <w:t xml:space="preserve">                                                    </w:t>
      </w:r>
      <w:r>
        <w:rPr>
          <w:b/>
          <w:sz w:val="22"/>
          <w:szCs w:val="22"/>
        </w:rPr>
        <w:t>§ 3 Warunki płatności</w:t>
      </w:r>
    </w:p>
    <w:p>
      <w:pPr>
        <w:pStyle w:val="ListParagraph"/>
        <w:suppressAutoHyphens w:val="false"/>
        <w:ind w:left="360" w:hanging="0"/>
        <w:jc w:val="both"/>
        <w:rPr>
          <w:b/>
          <w:b/>
          <w:sz w:val="22"/>
          <w:szCs w:val="22"/>
        </w:rPr>
      </w:pPr>
      <w:r>
        <w:rPr>
          <w:b/>
          <w:sz w:val="22"/>
          <w:szCs w:val="22"/>
        </w:rPr>
      </w:r>
    </w:p>
    <w:p>
      <w:pPr>
        <w:pStyle w:val="ListParagraph"/>
        <w:numPr>
          <w:ilvl w:val="0"/>
          <w:numId w:val="94"/>
        </w:numPr>
        <w:jc w:val="both"/>
        <w:rPr/>
      </w:pPr>
      <w:r>
        <w:rPr/>
        <w:t>Zapłata nastąpi przelewem po wykonaniu danej części przedmiotu umowy w ramach danego zadania i jego protokolarnym odbiorze bez zastrzeżeń przez Zamawiającego, w terminie do 14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ListParagraph"/>
        <w:numPr>
          <w:ilvl w:val="0"/>
          <w:numId w:val="94"/>
        </w:numPr>
        <w:jc w:val="both"/>
        <w:rPr/>
      </w:pPr>
      <w:r>
        <w:rPr/>
        <w:t>Cena brutto określona w § 1 ust. 1 umowy stanowi całość wydatku ponoszonego przez Zamawiającego względem Wykonawcy tytułem wykonania niniejszej umowy. Po stronie Wykonawcy są: koszty transportu i ubezpieczenia, konfiguracji i uruchomienia, koszty instruktażu oraz czynności serwisowych w okresie obowiązywania gwarancji.</w:t>
      </w:r>
    </w:p>
    <w:p>
      <w:pPr>
        <w:pStyle w:val="ListParagraph"/>
        <w:numPr>
          <w:ilvl w:val="0"/>
          <w:numId w:val="94"/>
        </w:numPr>
        <w:jc w:val="both"/>
        <w:rPr/>
      </w:pPr>
      <w:r>
        <w:rPr>
          <w:rFonts w:eastAsia="Times New Roman" w:cs="Times New Roman"/>
          <w:sz w:val="24"/>
          <w:szCs w:val="24"/>
          <w:lang w:eastAsia="pl-PL"/>
        </w:rPr>
        <w:t>Podanie na fakturze terminu płatności innego niż w  ust. 1, nie zmienia warunków płatności.</w:t>
      </w:r>
    </w:p>
    <w:p>
      <w:pPr>
        <w:pStyle w:val="ListParagraph"/>
        <w:numPr>
          <w:ilvl w:val="0"/>
          <w:numId w:val="94"/>
        </w:numPr>
        <w:jc w:val="both"/>
        <w:rPr/>
      </w:pPr>
      <w:r>
        <w:rPr>
          <w:rFonts w:eastAsia="Times New Roman" w:cs="Times New Roman"/>
          <w:sz w:val="24"/>
          <w:szCs w:val="24"/>
          <w:lang w:eastAsia="pl-PL"/>
        </w:rPr>
        <w:t xml:space="preserve">Wykonawca zobowiązany jest do wystawiania faktury wg wskazań Zamawiającego. </w:t>
      </w:r>
    </w:p>
    <w:p>
      <w:pPr>
        <w:pStyle w:val="ListParagraph"/>
        <w:numPr>
          <w:ilvl w:val="0"/>
          <w:numId w:val="94"/>
        </w:numPr>
        <w:jc w:val="both"/>
        <w:rPr/>
      </w:pPr>
      <w:r>
        <w:rPr>
          <w:rFonts w:eastAsia="Times New Roman" w:cs="Times New Roman"/>
          <w:sz w:val="24"/>
          <w:szCs w:val="24"/>
          <w:lang w:eastAsia="pl-PL"/>
        </w:rPr>
        <w:t>Za datę zapłaty uważa się dzień obciążenia rachunku bankowego Zamawiającego.</w:t>
      </w:r>
    </w:p>
    <w:p>
      <w:pPr>
        <w:pStyle w:val="ListParagraph"/>
        <w:numPr>
          <w:ilvl w:val="0"/>
          <w:numId w:val="94"/>
        </w:numPr>
        <w:jc w:val="both"/>
        <w:rPr/>
      </w:pPr>
      <w:r>
        <w:rPr>
          <w:rFonts w:eastAsia="Times New Roman" w:cs="Times New Roman"/>
          <w:sz w:val="24"/>
          <w:szCs w:val="24"/>
          <w:lang w:eastAsia="pl-PL"/>
        </w:rPr>
        <w:t>Dane niezbędne do wystawienia faktury;</w:t>
      </w:r>
    </w:p>
    <w:p>
      <w:pPr>
        <w:pStyle w:val="Normal"/>
        <w:spacing w:lineRule="auto" w:line="240" w:before="0" w:after="0"/>
        <w:ind w:left="567"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 Gmina Żórawina ul. Kolejowa 6, 55-020 Żórawina, NIP 914-100-25-20</w:t>
      </w:r>
    </w:p>
    <w:p>
      <w:pPr>
        <w:pStyle w:val="Normal"/>
        <w:spacing w:lineRule="auto" w:line="240" w:before="0" w:after="0"/>
        <w:ind w:left="567"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Płatnik: Gminny Zakład Gospodarki Komunalnej w Żórawinie, ul. Młyńska 9, Węgry, 55-020 Żórawina.</w:t>
      </w:r>
    </w:p>
    <w:p>
      <w:pPr>
        <w:pStyle w:val="Normal"/>
        <w:widowControl/>
        <w:numPr>
          <w:ilvl w:val="0"/>
          <w:numId w:val="100"/>
        </w:numPr>
        <w:suppressAutoHyphens w:val="true"/>
        <w:bidi w:val="0"/>
        <w:spacing w:lineRule="auto" w:line="240" w:before="0" w:after="0"/>
        <w:ind w:left="340" w:right="0" w:hanging="34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Wykonawca załączy do faktury dokumenty potwierdzające ilość materiałów dostarczanych do Gminnego Zakładu Gospodarki Komunalnej w Żórawinie. Dostarczenie w/w dokumentów potwierdza pracownik Zamawiającego wskazany przez Zamawiającego. Brak w/w dokumentów stanowić będzie podstawę do odmowy zapłaty faktury.</w:t>
      </w:r>
    </w:p>
    <w:p>
      <w:pPr>
        <w:pStyle w:val="Normal"/>
        <w:rPr>
          <w:b/>
          <w:b/>
        </w:rPr>
      </w:pPr>
      <w:r>
        <w:rPr>
          <w:b/>
        </w:rPr>
      </w:r>
    </w:p>
    <w:p>
      <w:pPr>
        <w:pStyle w:val="Normal"/>
        <w:ind w:left="142" w:hanging="0"/>
        <w:jc w:val="center"/>
        <w:rPr>
          <w:b/>
          <w:b/>
        </w:rPr>
      </w:pPr>
      <w:r>
        <w:rPr>
          <w:b/>
        </w:rPr>
        <w:t>§4 Gwarancja i rękojmia za wady</w:t>
      </w:r>
    </w:p>
    <w:p>
      <w:pPr>
        <w:pStyle w:val="Normal"/>
        <w:numPr>
          <w:ilvl w:val="0"/>
          <w:numId w:val="95"/>
        </w:numPr>
        <w:tabs>
          <w:tab w:val="clear" w:pos="708"/>
          <w:tab w:val="left" w:pos="426" w:leader="none"/>
        </w:tabs>
        <w:spacing w:lineRule="auto" w:line="240" w:before="0" w:after="0"/>
        <w:ind w:left="425" w:hanging="425"/>
        <w:jc w:val="both"/>
        <w:rPr/>
      </w:pPr>
      <w:r>
        <w:rPr/>
        <w:t>Wykonawca gwarantuje, że dostarczone pojazdy, niezależnie od jego właściwego zaprojektowania i wykonania są całkowicie sprawne.</w:t>
      </w:r>
    </w:p>
    <w:p>
      <w:pPr>
        <w:pStyle w:val="Normal"/>
        <w:numPr>
          <w:ilvl w:val="0"/>
          <w:numId w:val="95"/>
        </w:numPr>
        <w:tabs>
          <w:tab w:val="clear" w:pos="708"/>
          <w:tab w:val="left" w:pos="426" w:leader="none"/>
        </w:tabs>
        <w:spacing w:lineRule="auto" w:line="240" w:before="0" w:after="0"/>
        <w:ind w:left="425" w:hanging="425"/>
        <w:jc w:val="both"/>
        <w:rPr/>
      </w:pPr>
      <w:r>
        <w:rPr/>
        <w:t>Wykonawca udziela Zamawiającemu gwarancji jakości na dostarczone pojazdy na okres wskazany w §1, z zastrzeżeniem.</w:t>
      </w:r>
    </w:p>
    <w:p>
      <w:pPr>
        <w:pStyle w:val="Normal"/>
        <w:numPr>
          <w:ilvl w:val="0"/>
          <w:numId w:val="95"/>
        </w:numPr>
        <w:tabs>
          <w:tab w:val="clear" w:pos="708"/>
          <w:tab w:val="left" w:pos="426" w:leader="none"/>
        </w:tabs>
        <w:spacing w:lineRule="auto" w:line="240" w:before="0" w:after="0"/>
        <w:ind w:left="425" w:hanging="425"/>
        <w:jc w:val="both"/>
        <w:rPr/>
      </w:pPr>
      <w:r>
        <w:rPr/>
        <w:t>Termin gwarancji rozpoczyna bieg od daty sprzedaży, o której mowa w § 2 ust. 4.</w:t>
      </w:r>
    </w:p>
    <w:p>
      <w:pPr>
        <w:pStyle w:val="Normal"/>
        <w:numPr>
          <w:ilvl w:val="0"/>
          <w:numId w:val="95"/>
        </w:numPr>
        <w:tabs>
          <w:tab w:val="clear" w:pos="708"/>
          <w:tab w:val="left" w:pos="426" w:leader="none"/>
        </w:tabs>
        <w:spacing w:lineRule="auto" w:line="240" w:before="0" w:after="0"/>
        <w:ind w:left="425" w:hanging="425"/>
        <w:jc w:val="both"/>
        <w:rPr/>
      </w:pPr>
      <w:r>
        <w:rPr/>
        <w:t>W okresie gwarancji Wykonawca ponosi odpowiedzialność za przedmiot umowy oraz wady powstałe z przyczyn w nim tkwiących.</w:t>
      </w:r>
    </w:p>
    <w:p>
      <w:pPr>
        <w:pStyle w:val="Normal"/>
        <w:numPr>
          <w:ilvl w:val="0"/>
          <w:numId w:val="95"/>
        </w:numPr>
        <w:tabs>
          <w:tab w:val="clear" w:pos="708"/>
          <w:tab w:val="left" w:pos="426" w:leader="none"/>
        </w:tabs>
        <w:spacing w:lineRule="auto" w:line="240" w:before="0" w:after="0"/>
        <w:ind w:left="425" w:hanging="425"/>
        <w:jc w:val="both"/>
        <w:rPr/>
      </w:pPr>
      <w:r>
        <w:rPr/>
        <w:t>W ramach i w okresie udzielonej gwarancji Wykonawca zobowiązuje się nieodpłatnie przystąpić do napraw gwarancyjnych i nieodpłatnie usunąć usterki przedmiotu umowy. Przystąpienie do naprawy gwarancyjnej  nastąpi jeśli inaczej nie określono – w terminie 2 dni roboczych licząc od dnia zgłoszenia przez Zamawiającego mailem bądź faksem wady i usunąć ją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pPr>
        <w:pStyle w:val="Normal"/>
        <w:numPr>
          <w:ilvl w:val="0"/>
          <w:numId w:val="95"/>
        </w:numPr>
        <w:tabs>
          <w:tab w:val="clear" w:pos="708"/>
          <w:tab w:val="left" w:pos="426" w:leader="none"/>
        </w:tabs>
        <w:spacing w:lineRule="auto" w:line="240" w:before="0" w:after="0"/>
        <w:ind w:left="425" w:hanging="425"/>
        <w:jc w:val="both"/>
        <w:rPr/>
      </w:pPr>
      <w:r>
        <w:rPr/>
        <w:t>Naprawa gwarancyjna wykonana będzie w miejscu wskazanym każdorazowo przez Wykonawcę, niezwłocznie po zgłoszeniu przez Zamawiającego wady. Koszt dostarczenia pojazdów do oraz z miejsca wykonywania naprawy gwarancyjnej ponosi Wykonawca. Wykonawca ponosi także ryzyko przypadkowej utraty lub uszkodzenia pojazdów od momentu powierzenia pojazdu przewoźnikowi przez Zamawiającego do momentu faktycznego odbioru pojazdu  przez Zamawiającego.</w:t>
      </w:r>
    </w:p>
    <w:p>
      <w:pPr>
        <w:pStyle w:val="Normal"/>
        <w:numPr>
          <w:ilvl w:val="0"/>
          <w:numId w:val="95"/>
        </w:numPr>
        <w:tabs>
          <w:tab w:val="clear" w:pos="708"/>
          <w:tab w:val="left" w:pos="426" w:leader="none"/>
        </w:tabs>
        <w:spacing w:lineRule="auto" w:line="240" w:before="0" w:after="0"/>
        <w:ind w:left="425" w:hanging="425"/>
        <w:jc w:val="both"/>
        <w:rPr/>
      </w:pPr>
      <w:r>
        <w:rPr/>
        <w:t xml:space="preserve">W przypadku trzykrotnej nieudanej próby naprawy pojazdu objętego gwarancją Wykonawca zobowiązany jest wymienić uszkodzony pojazd na sprawny . </w:t>
      </w:r>
    </w:p>
    <w:p>
      <w:pPr>
        <w:pStyle w:val="Normal"/>
        <w:numPr>
          <w:ilvl w:val="0"/>
          <w:numId w:val="95"/>
        </w:numPr>
        <w:tabs>
          <w:tab w:val="clear" w:pos="708"/>
          <w:tab w:val="left" w:pos="426" w:leader="none"/>
        </w:tabs>
        <w:spacing w:lineRule="auto" w:line="240" w:before="0" w:after="0"/>
        <w:ind w:left="425" w:hanging="425"/>
        <w:jc w:val="both"/>
        <w:rPr/>
      </w:pPr>
      <w:r>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pPr>
        <w:pStyle w:val="Normal"/>
        <w:ind w:left="142" w:hanging="0"/>
        <w:jc w:val="center"/>
        <w:rPr>
          <w:b/>
          <w:b/>
        </w:rPr>
      </w:pPr>
      <w:r>
        <w:rPr>
          <w:b/>
        </w:rPr>
        <w:t>§5 Kary umowne</w:t>
      </w:r>
    </w:p>
    <w:p>
      <w:pPr>
        <w:pStyle w:val="Normal"/>
        <w:numPr>
          <w:ilvl w:val="3"/>
          <w:numId w:val="52"/>
        </w:numPr>
        <w:tabs>
          <w:tab w:val="clear" w:pos="708"/>
          <w:tab w:val="left" w:pos="360" w:leader="none"/>
          <w:tab w:val="left" w:pos="426" w:leader="none"/>
        </w:tabs>
        <w:spacing w:lineRule="auto" w:line="240" w:before="0" w:after="0"/>
        <w:ind w:left="426" w:hanging="284"/>
        <w:jc w:val="both"/>
        <w:rPr>
          <w:lang w:eastAsia="ar-SA"/>
        </w:rPr>
      </w:pPr>
      <w:r>
        <w:rPr>
          <w:lang w:eastAsia="ar-SA"/>
        </w:rPr>
        <w:t xml:space="preserve">Wykonawca zapłaci Zamawiającemu karę umowną z tytułu odstąpienia od całości lub części umowy przez  którąkolwiek ze Stron z przyczyn leżących po stronie Wykonawcy w wysokości 10% </w:t>
      </w:r>
      <w:bookmarkStart w:id="24" w:name="_Hlk64283290"/>
      <w:r>
        <w:rPr>
          <w:lang w:eastAsia="ar-SA"/>
        </w:rPr>
        <w:t>wartości brutto danego zadania określonej w § 1 ust.1 z uwzględnieniem § 1 ust. 2 i 3</w:t>
      </w:r>
      <w:bookmarkEnd w:id="24"/>
      <w:r>
        <w:rPr>
          <w:lang w:eastAsia="ar-SA"/>
        </w:rPr>
        <w:t>.</w:t>
      </w:r>
    </w:p>
    <w:p>
      <w:pPr>
        <w:pStyle w:val="Normal"/>
        <w:numPr>
          <w:ilvl w:val="3"/>
          <w:numId w:val="52"/>
        </w:numPr>
        <w:tabs>
          <w:tab w:val="clear" w:pos="708"/>
          <w:tab w:val="left" w:pos="360" w:leader="none"/>
          <w:tab w:val="left" w:pos="426" w:leader="none"/>
        </w:tabs>
        <w:spacing w:lineRule="auto" w:line="240" w:before="0" w:after="0"/>
        <w:ind w:left="426" w:hanging="284"/>
        <w:jc w:val="both"/>
        <w:rPr>
          <w:i/>
          <w:i/>
          <w:lang w:eastAsia="ar-SA"/>
        </w:rPr>
      </w:pPr>
      <w:r>
        <w:rPr>
          <w:lang w:eastAsia="ar-SA"/>
        </w:rPr>
        <w:t xml:space="preserve"> </w:t>
      </w:r>
      <w:r>
        <w:rPr>
          <w:lang w:eastAsia="ar-SA"/>
        </w:rPr>
        <w:t xml:space="preserve">Wykonawca zapłaci Zamawiającemu karę umowną za zwłokę w realizacji dostawy w terminie określonym w § 1 w wysokości </w:t>
      </w:r>
      <w:r>
        <w:rPr>
          <w:b/>
          <w:lang w:eastAsia="ar-SA"/>
        </w:rPr>
        <w:t>0,5 %</w:t>
      </w:r>
      <w:r>
        <w:rPr>
          <w:lang w:eastAsia="ar-SA"/>
        </w:rPr>
        <w:t xml:space="preserve"> wartości brutto danego zadania określonej w § 1 ust.1 z uwzględnieniem § 1 ust. 2 i 3* *(jeżeli wartość jest różna uzupełnić odpowiednio do danych zadań) za każdy dzień zwłoki.</w:t>
      </w:r>
    </w:p>
    <w:p>
      <w:pPr>
        <w:pStyle w:val="Normal"/>
        <w:numPr>
          <w:ilvl w:val="3"/>
          <w:numId w:val="52"/>
        </w:numPr>
        <w:tabs>
          <w:tab w:val="clear" w:pos="708"/>
          <w:tab w:val="left" w:pos="360" w:leader="none"/>
          <w:tab w:val="left" w:pos="426" w:leader="none"/>
        </w:tabs>
        <w:spacing w:lineRule="auto" w:line="240" w:before="0" w:after="0"/>
        <w:ind w:left="426" w:hanging="284"/>
        <w:jc w:val="both"/>
        <w:rPr>
          <w:lang w:eastAsia="ar-SA"/>
        </w:rPr>
      </w:pPr>
      <w:r>
        <w:rPr>
          <w:lang w:eastAsia="ar-SA"/>
        </w:rPr>
        <w:t xml:space="preserve"> </w:t>
      </w:r>
      <w:r>
        <w:rPr>
          <w:lang w:eastAsia="ar-SA"/>
        </w:rPr>
        <w:t>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ust.1, za każdy dzień zwłoki z uwzględnieniem § 1 ust. 2 i 3.</w:t>
      </w:r>
    </w:p>
    <w:p>
      <w:pPr>
        <w:pStyle w:val="Normal"/>
        <w:numPr>
          <w:ilvl w:val="3"/>
          <w:numId w:val="52"/>
        </w:numPr>
        <w:tabs>
          <w:tab w:val="clear" w:pos="708"/>
          <w:tab w:val="left" w:pos="426" w:leader="none"/>
        </w:tabs>
        <w:spacing w:lineRule="auto" w:line="240" w:before="0" w:after="0"/>
        <w:ind w:left="426" w:hanging="284"/>
        <w:jc w:val="both"/>
        <w:rPr>
          <w:lang w:eastAsia="ar-SA"/>
        </w:rPr>
      </w:pPr>
      <w:r>
        <w:rPr>
          <w:lang w:eastAsia="ar-SA"/>
        </w:rPr>
        <w:t>Odpowiedzialność Wykonawcy z tytułu zapłaty kar umownych przewidzianych w umowie ograniczona jest do 50 % łącznej kwoty brutto, określonej w § 1 ust. 1.</w:t>
      </w:r>
    </w:p>
    <w:p>
      <w:pPr>
        <w:pStyle w:val="Normal"/>
        <w:numPr>
          <w:ilvl w:val="3"/>
          <w:numId w:val="52"/>
        </w:numPr>
        <w:tabs>
          <w:tab w:val="clear" w:pos="708"/>
          <w:tab w:val="left" w:pos="426" w:leader="none"/>
        </w:tabs>
        <w:spacing w:lineRule="auto" w:line="240" w:before="0" w:after="0"/>
        <w:ind w:left="426" w:hanging="284"/>
        <w:jc w:val="both"/>
        <w:rPr>
          <w:lang w:eastAsia="ar-SA"/>
        </w:rPr>
      </w:pPr>
      <w:r>
        <w:rPr>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pPr>
        <w:pStyle w:val="Normal"/>
        <w:numPr>
          <w:ilvl w:val="3"/>
          <w:numId w:val="52"/>
        </w:numPr>
        <w:tabs>
          <w:tab w:val="clear" w:pos="708"/>
          <w:tab w:val="left" w:pos="426" w:leader="none"/>
        </w:tabs>
        <w:spacing w:lineRule="auto" w:line="240" w:before="0" w:after="0"/>
        <w:ind w:left="426" w:hanging="284"/>
        <w:jc w:val="both"/>
        <w:rPr>
          <w:lang w:eastAsia="ar-SA"/>
        </w:rPr>
      </w:pPr>
      <w:r>
        <w:rPr>
          <w:lang w:eastAsia="ar-SA"/>
        </w:rPr>
        <w:t>Wykonawca nie może przenieść wierzytelności wynikających z niniejszej umowy na osobę trzecią.</w:t>
      </w:r>
    </w:p>
    <w:p>
      <w:pPr>
        <w:pStyle w:val="Normal"/>
        <w:numPr>
          <w:ilvl w:val="3"/>
          <w:numId w:val="52"/>
        </w:numPr>
        <w:tabs>
          <w:tab w:val="clear" w:pos="708"/>
          <w:tab w:val="left" w:pos="426" w:leader="none"/>
        </w:tabs>
        <w:spacing w:lineRule="auto" w:line="240" w:before="0" w:after="0"/>
        <w:ind w:left="426" w:hanging="284"/>
        <w:jc w:val="both"/>
        <w:rPr>
          <w:lang w:eastAsia="ar-SA"/>
        </w:rPr>
      </w:pPr>
      <w:r>
        <w:rPr>
          <w:lang w:eastAsia="ar-SA"/>
        </w:rPr>
        <w:t xml:space="preserve">Strony ustalają, że w razie naliczenia kar umownych zgodnie z ust. 1-3 Zamawiający będzie upoważniony do potrącenia kwoty tych kar z wynagrodzenia Wykonawcy. </w:t>
      </w:r>
    </w:p>
    <w:p>
      <w:pPr>
        <w:pStyle w:val="Normal"/>
        <w:numPr>
          <w:ilvl w:val="3"/>
          <w:numId w:val="52"/>
        </w:numPr>
        <w:tabs>
          <w:tab w:val="clear" w:pos="708"/>
          <w:tab w:val="left" w:pos="426" w:leader="none"/>
        </w:tabs>
        <w:spacing w:lineRule="auto" w:line="240" w:before="0" w:after="0"/>
        <w:ind w:left="426" w:hanging="284"/>
        <w:jc w:val="both"/>
        <w:rPr>
          <w:lang w:eastAsia="ar-SA"/>
        </w:rPr>
      </w:pPr>
      <w:bookmarkStart w:id="25" w:name="_Hlk64550997"/>
      <w:r>
        <w:rPr>
          <w:lang w:eastAsia="ar-SA"/>
        </w:rPr>
        <w:t>W przypadku odstąpienia od Umowy przez Zamawiającego z 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5"/>
    </w:p>
    <w:p>
      <w:pPr>
        <w:pStyle w:val="Normal"/>
        <w:spacing w:lineRule="auto" w:line="240" w:before="0" w:after="0"/>
        <w:ind w:left="786" w:hanging="0"/>
        <w:jc w:val="both"/>
        <w:rPr>
          <w:lang w:eastAsia="ar-SA"/>
        </w:rPr>
      </w:pPr>
      <w:r>
        <w:rPr>
          <w:lang w:eastAsia="ar-SA"/>
        </w:rPr>
      </w:r>
    </w:p>
    <w:p>
      <w:pPr>
        <w:pStyle w:val="Normal"/>
        <w:shd w:val="clear" w:color="auto" w:fill="FFFFFF"/>
        <w:ind w:left="142" w:hanging="0"/>
        <w:jc w:val="center"/>
        <w:rPr>
          <w:b/>
          <w:b/>
        </w:rPr>
      </w:pPr>
      <w:r>
        <w:rPr>
          <w:b/>
        </w:rPr>
        <w:t>§6 Zmiany umowy</w:t>
      </w:r>
    </w:p>
    <w:p>
      <w:pPr>
        <w:pStyle w:val="Normal"/>
        <w:keepNext w:val="true"/>
        <w:numPr>
          <w:ilvl w:val="0"/>
          <w:numId w:val="49"/>
        </w:numPr>
        <w:shd w:val="clear" w:color="auto" w:fill="FFFFFF"/>
        <w:spacing w:lineRule="auto" w:line="240" w:before="0" w:after="0"/>
        <w:jc w:val="both"/>
        <w:rPr/>
      </w:pPr>
      <w:r>
        <w:rPr/>
        <w:t>Zmiana postanowień niniejszej umowy wymaga formy pisemnej, pod rygorem nieważności.</w:t>
      </w:r>
    </w:p>
    <w:p>
      <w:pPr>
        <w:pStyle w:val="Normal"/>
        <w:numPr>
          <w:ilvl w:val="0"/>
          <w:numId w:val="49"/>
        </w:numPr>
        <w:shd w:val="clear" w:color="auto" w:fill="FFFFFF"/>
        <w:spacing w:lineRule="auto" w:line="240" w:before="0" w:after="0"/>
        <w:jc w:val="both"/>
        <w:rPr/>
      </w:pPr>
      <w:r>
        <w:rPr/>
        <w:t xml:space="preserve">Zamawiający </w:t>
      </w:r>
      <w:r>
        <w:rPr>
          <w:shd w:fill="FFFFFF" w:val="clear"/>
        </w:rPr>
        <w:t>informuje, że przewiduje możliwości zmiany umowy. Zmiany zawartej umowy mogą nastąpić w n</w:t>
      </w:r>
      <w:r>
        <w:rPr/>
        <w:t>astępujących przypadkach, gdy:</w:t>
      </w:r>
    </w:p>
    <w:p>
      <w:pPr>
        <w:pStyle w:val="Normal"/>
        <w:numPr>
          <w:ilvl w:val="0"/>
          <w:numId w:val="50"/>
        </w:numPr>
        <w:shd w:val="clear" w:color="auto" w:fill="FFFFFF"/>
        <w:spacing w:lineRule="auto" w:line="240" w:before="0" w:after="0"/>
        <w:ind w:left="709" w:hanging="283"/>
        <w:jc w:val="both"/>
        <w:rPr/>
      </w:pPr>
      <w:r>
        <w:rPr/>
        <w:t>ulegnie zmianie stan prawny w zakresie dotyczącym realizowanej umowy, który spowoduje konieczność zmiany sposobu wykonania zamówienia przez Wykonawcę;</w:t>
      </w:r>
    </w:p>
    <w:p>
      <w:pPr>
        <w:pStyle w:val="Normal"/>
        <w:numPr>
          <w:ilvl w:val="0"/>
          <w:numId w:val="50"/>
        </w:numPr>
        <w:shd w:val="clear" w:color="auto" w:fill="FFFFFF"/>
        <w:spacing w:lineRule="auto" w:line="240" w:before="0" w:after="0"/>
        <w:ind w:left="709" w:hanging="283"/>
        <w:jc w:val="both"/>
        <w:rPr/>
      </w:pPr>
      <w:r>
        <w:rPr/>
        <w:t xml:space="preserve">wystąpią  przeszkody o obiektywnym charakterze (zdarzenia nadzwyczajne, zewnętrzne </w:t>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pPr>
        <w:pStyle w:val="Normal"/>
        <w:numPr>
          <w:ilvl w:val="0"/>
          <w:numId w:val="50"/>
        </w:numPr>
        <w:spacing w:lineRule="auto" w:line="240" w:before="0" w:after="0"/>
        <w:ind w:left="709" w:hanging="283"/>
        <w:jc w:val="both"/>
        <w:rPr/>
      </w:pPr>
      <w:r>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pPr>
        <w:pStyle w:val="Normal"/>
        <w:numPr>
          <w:ilvl w:val="0"/>
          <w:numId w:val="50"/>
        </w:numPr>
        <w:spacing w:lineRule="auto" w:line="240" w:before="0" w:after="0"/>
        <w:ind w:left="709" w:hanging="283"/>
        <w:jc w:val="both"/>
        <w:rPr/>
      </w:pPr>
      <w:r>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towaru nie przekroczy ceny jednostkowej danej pozycji i parametry jakościowe towaru będą nie gorsz</w:t>
      </w:r>
      <w:r>
        <w:rPr>
          <w:bCs/>
        </w:rPr>
        <w:t xml:space="preserve">e </w:t>
      </w:r>
      <w:r>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Pr>
          <w:bCs/>
        </w:rPr>
        <w:t>su:</w:t>
      </w:r>
    </w:p>
    <w:p>
      <w:pPr>
        <w:pStyle w:val="Normal"/>
        <w:numPr>
          <w:ilvl w:val="0"/>
          <w:numId w:val="50"/>
        </w:numPr>
        <w:spacing w:lineRule="auto" w:line="240" w:before="0" w:after="0"/>
        <w:ind w:left="709" w:hanging="283"/>
        <w:jc w:val="both"/>
        <w:rPr/>
      </w:pPr>
      <w:r>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pPr>
        <w:pStyle w:val="Normal"/>
        <w:numPr>
          <w:ilvl w:val="0"/>
          <w:numId w:val="49"/>
        </w:numPr>
        <w:shd w:val="clear" w:color="auto" w:fill="FFFFFF"/>
        <w:spacing w:lineRule="auto" w:line="240" w:before="0" w:after="0"/>
        <w:jc w:val="both"/>
        <w:rPr/>
      </w:pPr>
      <w:r>
        <w:rPr/>
        <w:t>Strony dopuszczają możliwość zmian redakcyjnych, omyłek pisarskich oraz zmian będących następstwem zmian danych ujawnionych w rejestrach publicznych bez konieczności sporządzania aneksu.</w:t>
      </w:r>
    </w:p>
    <w:p>
      <w:pPr>
        <w:pStyle w:val="Normal"/>
        <w:numPr>
          <w:ilvl w:val="0"/>
          <w:numId w:val="49"/>
        </w:numPr>
        <w:shd w:val="clear" w:color="auto" w:fill="FFFFFF"/>
        <w:spacing w:lineRule="auto" w:line="240" w:before="0" w:after="0"/>
        <w:jc w:val="both"/>
        <w:rPr>
          <w:b/>
          <w:b/>
        </w:rPr>
      </w:pPr>
      <w:r>
        <w:rPr/>
        <w:t>Gdy nastąpiła zmiana stawki podatku od towarów i usług VAT w takim przypadku umowa nie uleganie zmianie w zakresie wysokości ceny brutto.</w:t>
      </w:r>
    </w:p>
    <w:p>
      <w:pPr>
        <w:pStyle w:val="Normal"/>
        <w:rPr>
          <w:b/>
          <w:b/>
          <w:highlight w:val="yellow"/>
        </w:rPr>
      </w:pPr>
      <w:r>
        <w:rPr>
          <w:b/>
          <w:highlight w:val="yellow"/>
        </w:rPr>
      </w:r>
    </w:p>
    <w:p>
      <w:pPr>
        <w:pStyle w:val="Normal"/>
        <w:rPr>
          <w:b/>
          <w:b/>
          <w:highlight w:val="yellow"/>
        </w:rPr>
      </w:pPr>
      <w:r>
        <w:rPr>
          <w:b/>
          <w:highlight w:val="yellow"/>
        </w:rPr>
      </w:r>
    </w:p>
    <w:p>
      <w:pPr>
        <w:pStyle w:val="Normal"/>
        <w:ind w:left="142" w:hanging="0"/>
        <w:jc w:val="center"/>
        <w:rPr>
          <w:b/>
          <w:b/>
        </w:rPr>
      </w:pPr>
      <w:r>
        <w:rPr>
          <w:b/>
        </w:rPr>
        <w:t>§ 7 Odstąpienie od umowy</w:t>
      </w:r>
    </w:p>
    <w:p>
      <w:pPr>
        <w:pStyle w:val="Normal"/>
        <w:widowControl w:val="false"/>
        <w:numPr>
          <w:ilvl w:val="6"/>
          <w:numId w:val="45"/>
        </w:numPr>
        <w:spacing w:lineRule="auto" w:line="240" w:before="0" w:after="0"/>
        <w:jc w:val="both"/>
        <w:rPr/>
      </w:pPr>
      <w:r>
        <w:rPr/>
        <w:t xml:space="preserve">Niezależnie od uprawnienia do odstąpienia od umowy przysługującego Zamawiającemu na podstawie przepisów księgi III tytułu VII kodeksu cywilnego, Zamawiający zastrzega sobie prawo odstąpienia od umowy lub jej części w terminie 30 dni od dnia zaistnienia następujących okoliczności: </w:t>
      </w:r>
    </w:p>
    <w:p>
      <w:pPr>
        <w:pStyle w:val="Normal"/>
        <w:widowControl w:val="false"/>
        <w:numPr>
          <w:ilvl w:val="0"/>
          <w:numId w:val="47"/>
        </w:numPr>
        <w:spacing w:lineRule="auto" w:line="240" w:before="0" w:after="0"/>
        <w:jc w:val="both"/>
        <w:rPr/>
      </w:pPr>
      <w:r>
        <w:rPr/>
        <w:t xml:space="preserve">dostarczenia innego przedmiotu niż określony w opisie przedmiotu zamówienia, </w:t>
        <w:br/>
        <w:t>z zastrzeżeniem § 6 ust 2 lit d),</w:t>
      </w:r>
    </w:p>
    <w:p>
      <w:pPr>
        <w:pStyle w:val="Normal"/>
        <w:widowControl w:val="false"/>
        <w:numPr>
          <w:ilvl w:val="0"/>
          <w:numId w:val="47"/>
        </w:numPr>
        <w:spacing w:lineRule="auto" w:line="240" w:before="0" w:after="0"/>
        <w:jc w:val="both"/>
        <w:rPr/>
      </w:pPr>
      <w:r>
        <w:rPr/>
        <w:t>zawinionego przez Wykonawcę niedotrzymania terminu realizacji dostawy, z zastrzeżeniem § 6 ust 2 lit b), c), d);</w:t>
      </w:r>
    </w:p>
    <w:p>
      <w:pPr>
        <w:pStyle w:val="Normal"/>
        <w:widowControl w:val="false"/>
        <w:numPr>
          <w:ilvl w:val="0"/>
          <w:numId w:val="47"/>
        </w:numPr>
        <w:spacing w:lineRule="auto" w:line="240" w:before="0" w:after="0"/>
        <w:jc w:val="both"/>
        <w:rPr/>
      </w:pPr>
      <w:r>
        <w:rPr/>
        <w:t>realizacji umowy z nienależytą starannością.</w:t>
      </w:r>
    </w:p>
    <w:p>
      <w:pPr>
        <w:pStyle w:val="Normal"/>
        <w:numPr>
          <w:ilvl w:val="6"/>
          <w:numId w:val="45"/>
        </w:numPr>
        <w:spacing w:lineRule="auto" w:line="240" w:before="0" w:after="0"/>
        <w:jc w:val="both"/>
        <w:rPr>
          <w:b/>
          <w:b/>
        </w:rPr>
      </w:pPr>
      <w:r>
        <w:rPr/>
        <w:t xml:space="preserve">W razie zaistnienia istotnej zmiany okoliczności powodującej, że wykonanie umowy nie leży </w:t>
        <w:br/>
        <w:t xml:space="preserve">w interesie publicznym, czego nie można było przewidzieć w chwili zawarcia umowy, Zamawiający może odstąpić od umowy w terminie 30 dni od powzięcia wiadomości o tych okolicznościach. </w:t>
        <w:br/>
        <w:t>W takim przypadku Wykonawca może żądać wyłącznie wynagrodzenia należnego z tytułu wykonania części umowy.</w:t>
      </w:r>
    </w:p>
    <w:p>
      <w:pPr>
        <w:pStyle w:val="Normal"/>
        <w:numPr>
          <w:ilvl w:val="6"/>
          <w:numId w:val="45"/>
        </w:numPr>
        <w:spacing w:lineRule="auto" w:line="240" w:before="0" w:after="0"/>
        <w:jc w:val="both"/>
        <w:rPr>
          <w:b/>
          <w:b/>
        </w:rPr>
      </w:pPr>
      <w:r>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pPr>
        <w:pStyle w:val="Normal"/>
        <w:rPr>
          <w:b/>
          <w:b/>
          <w:highlight w:val="yellow"/>
        </w:rPr>
      </w:pPr>
      <w:r>
        <w:rPr>
          <w:b/>
          <w:highlight w:val="yellow"/>
        </w:rPr>
      </w:r>
    </w:p>
    <w:p>
      <w:pPr>
        <w:pStyle w:val="Normal"/>
        <w:ind w:firstLine="284"/>
        <w:jc w:val="center"/>
        <w:rPr>
          <w:b/>
          <w:b/>
        </w:rPr>
      </w:pPr>
      <w:r>
        <w:rPr>
          <w:b/>
        </w:rPr>
        <w:t>§ 8 Klauzule dopuszczające podwykonawstwo</w:t>
      </w:r>
    </w:p>
    <w:p>
      <w:pPr>
        <w:pStyle w:val="Normal"/>
        <w:widowControl w:val="false"/>
        <w:numPr>
          <w:ilvl w:val="0"/>
          <w:numId w:val="96"/>
        </w:numPr>
        <w:spacing w:lineRule="auto" w:line="240" w:before="120" w:after="0"/>
        <w:jc w:val="both"/>
        <w:rPr/>
      </w:pPr>
      <w:r>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Normal"/>
        <w:widowControl w:val="false"/>
        <w:numPr>
          <w:ilvl w:val="0"/>
          <w:numId w:val="51"/>
        </w:numPr>
        <w:spacing w:lineRule="auto" w:line="240" w:before="120" w:after="0"/>
        <w:jc w:val="both"/>
        <w:rPr/>
      </w:pPr>
      <w:r>
        <w:rPr/>
        <w:t>Jeżeli termin określony w ust. 1 z przyczyn niezależnych od Wykonawcy nie mógłby być dochowany, Wykonawca niezwłocznie powiadomi Zamawiającego o przyczynach braku jego dochowania oraz zastosuje się do wskazówek Zamawiającego.</w:t>
      </w:r>
    </w:p>
    <w:p>
      <w:pPr>
        <w:pStyle w:val="Normal"/>
        <w:widowControl w:val="false"/>
        <w:numPr>
          <w:ilvl w:val="0"/>
          <w:numId w:val="51"/>
        </w:numPr>
        <w:spacing w:lineRule="auto" w:line="240" w:before="120" w:after="0"/>
        <w:jc w:val="both"/>
        <w:rPr/>
      </w:pPr>
      <w:r>
        <w:rPr/>
        <w:t>Kopie dokumentów, wymaganych zgodnie z ust. 1, powinny być potwierdzone za zgodność z oryginałem.</w:t>
      </w:r>
    </w:p>
    <w:p>
      <w:pPr>
        <w:pStyle w:val="Normal"/>
        <w:widowControl w:val="false"/>
        <w:numPr>
          <w:ilvl w:val="0"/>
          <w:numId w:val="51"/>
        </w:numPr>
        <w:spacing w:lineRule="auto" w:line="240" w:before="120" w:after="0"/>
        <w:jc w:val="both"/>
        <w:rPr/>
      </w:pPr>
      <w:r>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Normal"/>
        <w:widowControl w:val="false"/>
        <w:numPr>
          <w:ilvl w:val="0"/>
          <w:numId w:val="51"/>
        </w:numPr>
        <w:spacing w:lineRule="auto" w:line="240" w:before="120" w:after="0"/>
        <w:jc w:val="both"/>
        <w:rPr/>
      </w:pPr>
      <w:r>
        <w:rPr/>
        <w:t>Nałożenie niniejszym paragrafem zobowiązań na Wykonawcę:</w:t>
      </w:r>
    </w:p>
    <w:p>
      <w:pPr>
        <w:pStyle w:val="Normal"/>
        <w:widowControl w:val="false"/>
        <w:spacing w:before="120" w:after="160"/>
        <w:ind w:left="340" w:hanging="0"/>
        <w:jc w:val="both"/>
        <w:rPr/>
      </w:pPr>
      <w:r>
        <w:rPr/>
        <w:t>1) wynika z art. 8 ust. 2a , art. 17 ust. 1 oraz  art. 18 ust. 1 w związku z art. 20 ust. 1 ustawy  z dnia 13 października 1998 r. o systemie ubezpieczeń społecznych (Dz.U.2020.266 j.t. ze zmianami)</w:t>
      </w:r>
    </w:p>
    <w:p>
      <w:pPr>
        <w:pStyle w:val="Normal"/>
        <w:widowControl w:val="false"/>
        <w:spacing w:before="120" w:after="160"/>
        <w:ind w:left="340" w:hanging="0"/>
        <w:jc w:val="both"/>
        <w:rPr/>
      </w:pPr>
      <w:r>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widowControl w:val="false"/>
        <w:numPr>
          <w:ilvl w:val="0"/>
          <w:numId w:val="51"/>
        </w:numPr>
        <w:spacing w:lineRule="auto" w:line="240" w:before="120" w:after="0"/>
        <w:jc w:val="both"/>
        <w:rPr/>
      </w:pPr>
      <w:r>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rPr>
          <w:b/>
          <w:b/>
          <w:highlight w:val="yellow"/>
        </w:rPr>
      </w:pPr>
      <w:r>
        <w:rPr>
          <w:b/>
          <w:highlight w:val="yellow"/>
        </w:rPr>
      </w:r>
    </w:p>
    <w:p>
      <w:pPr>
        <w:pStyle w:val="Normal"/>
        <w:keepNext w:val="true"/>
        <w:ind w:left="142" w:hanging="0"/>
        <w:jc w:val="center"/>
        <w:rPr>
          <w:b/>
          <w:b/>
        </w:rPr>
      </w:pPr>
      <w:r>
        <w:rPr>
          <w:b/>
        </w:rPr>
        <w:t>§9 Rodo</w:t>
      </w:r>
    </w:p>
    <w:p>
      <w:pPr>
        <w:pStyle w:val="Normal"/>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ar-SA"/>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ar-SA"/>
        </w:rPr>
        <w:t>„</w:t>
      </w:r>
      <w:r>
        <w:rPr>
          <w:rFonts w:eastAsia="Times New Roman" w:cs="Times New Roman" w:ascii="Times New Roman" w:hAnsi="Times New Roman"/>
          <w:i/>
          <w:sz w:val="24"/>
          <w:szCs w:val="24"/>
          <w:lang w:eastAsia="ar-SA"/>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pPr>
        <w:pStyle w:val="Normal"/>
        <w:numPr>
          <w:ilvl w:val="0"/>
          <w:numId w:val="33"/>
        </w:numPr>
        <w:spacing w:lineRule="auto" w:line="240" w:before="0" w:after="0"/>
        <w:ind w:left="567" w:hanging="294"/>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Gmina Żórawina działająca przez Gminny Zakład Gospodarki Komunalnej </w:t>
        <w:tab/>
        <w:t>w Żórawinie</w:t>
      </w:r>
      <w:r>
        <w:rPr>
          <w:rFonts w:eastAsia="Times New Roman" w:cs="Times New Roman" w:ascii="Times New Roman" w:hAnsi="Times New Roman"/>
          <w:i/>
          <w:sz w:val="24"/>
          <w:szCs w:val="24"/>
          <w:lang w:eastAsia="ar-SA"/>
        </w:rPr>
        <w:t xml:space="preserve">, tel. 71 31 65 116 e-mail </w:t>
      </w:r>
      <w:r>
        <w:rPr>
          <w:rFonts w:eastAsia="Times New Roman" w:cs="Times New Roman" w:ascii="Times New Roman" w:hAnsi="Times New Roman"/>
          <w:i/>
          <w:sz w:val="24"/>
          <w:szCs w:val="24"/>
          <w:u w:val="single"/>
          <w:lang w:eastAsia="ar-SA"/>
        </w:rPr>
        <w:t>przetargi</w:t>
      </w:r>
      <w:hyperlink r:id="rId18">
        <w:r>
          <w:rPr>
            <w:rStyle w:val="ListLabel285"/>
            <w:rFonts w:eastAsia="Times New Roman" w:cs="Times New Roman" w:ascii="Times New Roman" w:hAnsi="Times New Roman"/>
            <w:i/>
            <w:sz w:val="24"/>
            <w:szCs w:val="24"/>
            <w:u w:val="single"/>
            <w:lang w:eastAsia="ar-SA"/>
          </w:rPr>
          <w:t>@wodociagizorawina</w:t>
        </w:r>
      </w:hyperlink>
      <w:r>
        <w:rPr>
          <w:rFonts w:eastAsia="Times New Roman" w:cs="Times New Roman" w:ascii="Times New Roman" w:hAnsi="Times New Roman"/>
          <w:i/>
          <w:sz w:val="24"/>
          <w:szCs w:val="24"/>
          <w:lang w:eastAsia="ar-SA"/>
        </w:rPr>
        <w:t xml:space="preserve"> pozyskała Pani/Pana dane osobowe w ramach niniejszej umowy;</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 xml:space="preserve">dane kontaktowe do inspektora ochrony danych e-mail: </w:t>
      </w:r>
      <w:r>
        <w:rPr>
          <w:rFonts w:eastAsia="Times New Roman" w:cs="Times New Roman" w:ascii="Times New Roman" w:hAnsi="Times New Roman"/>
          <w:sz w:val="24"/>
          <w:szCs w:val="24"/>
          <w:lang w:eastAsia="ar-SA"/>
        </w:rPr>
        <w:t>iod@huczynski.pl</w:t>
      </w:r>
      <w:r>
        <w:rPr>
          <w:rFonts w:eastAsia="Times New Roman" w:cs="Times New Roman" w:ascii="Times New Roman" w:hAnsi="Times New Roman"/>
          <w:i/>
          <w:sz w:val="24"/>
          <w:szCs w:val="24"/>
          <w:lang w:eastAsia="ar-SA"/>
        </w:rPr>
        <w:t xml:space="preserve"> ;</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Pani/Pana dane osobowe będą przechowywane do momentu zakończenia realizacji celów określonych w pkt. 3, a po tym czasie przez okres wymagany przez przepisy powszechnie obowiązującego prawa;</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w odniesieniu do Pani/Pana danych osobowych decyzje nie będą podejmowane w sposób zautomatyzowany, stosownie do art. 22 RODO;</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posiada</w:t>
      </w:r>
      <w:r>
        <w:rPr>
          <w:rFonts w:eastAsia="Times New Roman" w:cs="Times New Roman" w:ascii="Times New Roman" w:hAnsi="Times New Roman"/>
          <w:sz w:val="24"/>
          <w:szCs w:val="24"/>
          <w:lang w:eastAsia="ar-SA"/>
        </w:rPr>
        <w:t xml:space="preserve"> Pani/Pan:</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dostępu do danych osobowych Pani/Pana dotyczących na podstawie art. 15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 sprostowania Pani/Pana danych osobowych na podstawie art. 16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 żądania usunięcia danych osobowych w przypadkach określonych w art. 17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na podstawie art. 18 RODO prawo żądania od administratora ograniczenia przetwarzania danych osobowych z zastrzeżeniem przypadków, o których mowa w art. 18 ust. 2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 przenoszenia danych osobowych w przypadkach określonych w art. 20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wniesienia sprzeciwu wobec przetwarzania danych osobowych w przypadkach określonych w art. 21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 wniesienia skargi do Prezesa Urzędu Ochrony Danych Osobowych, gdy uzna Pani/Pan, że przetwarzanie danych osobowych Pani/Pana dotyczących narusza przepisy RODO.”.”.”,</w:t>
      </w:r>
    </w:p>
    <w:p>
      <w:pPr>
        <w:pStyle w:val="Normal"/>
        <w:keepNext w:val="true"/>
        <w:ind w:left="142" w:hanging="0"/>
        <w:jc w:val="center"/>
        <w:rPr>
          <w:b/>
          <w:b/>
        </w:rPr>
      </w:pPr>
      <w:r>
        <w:rPr>
          <w:b/>
        </w:rPr>
      </w:r>
    </w:p>
    <w:p>
      <w:pPr>
        <w:pStyle w:val="Normal"/>
        <w:keepNext w:val="true"/>
        <w:ind w:left="142" w:hanging="0"/>
        <w:jc w:val="center"/>
        <w:rPr>
          <w:b/>
          <w:b/>
        </w:rPr>
      </w:pPr>
      <w:r>
        <w:rPr>
          <w:b/>
        </w:rPr>
        <w:t>§10 Rozstrzyganie sporów</w:t>
      </w:r>
    </w:p>
    <w:p>
      <w:pPr>
        <w:pStyle w:val="Normal"/>
        <w:numPr>
          <w:ilvl w:val="0"/>
          <w:numId w:val="46"/>
        </w:numPr>
        <w:spacing w:lineRule="auto" w:line="240" w:before="0" w:after="0"/>
        <w:ind w:left="357" w:hanging="357"/>
        <w:jc w:val="both"/>
        <w:rPr>
          <w:lang w:eastAsia="ar-SA"/>
        </w:rPr>
      </w:pPr>
      <w:r>
        <w:rPr>
          <w:lang w:eastAsia="ar-SA"/>
        </w:rPr>
        <w:t>Wszelkie spory pomiędzy stronami będą rozpatrywane przez sąd właściwy dla siedziby Zamawiającego.</w:t>
      </w:r>
    </w:p>
    <w:p>
      <w:pPr>
        <w:pStyle w:val="Normal"/>
        <w:numPr>
          <w:ilvl w:val="0"/>
          <w:numId w:val="46"/>
        </w:numPr>
        <w:spacing w:lineRule="auto" w:line="240" w:before="0" w:after="0"/>
        <w:ind w:left="357" w:hanging="357"/>
        <w:jc w:val="both"/>
        <w:rPr>
          <w:lang w:eastAsia="ar-SA"/>
        </w:rPr>
      </w:pPr>
      <w:r>
        <w:rPr>
          <w:lang w:eastAsia="ar-SA"/>
        </w:rPr>
        <w:t>W sprawach nieuregulowanych niniejszą umową mają zastosowanie właściwe przepisy Kodeksu Cywilnego i inne powszechnie obowiązujące przepisy prawa.</w:t>
      </w:r>
    </w:p>
    <w:p>
      <w:pPr>
        <w:pStyle w:val="Normal"/>
        <w:ind w:left="357" w:hanging="0"/>
        <w:jc w:val="both"/>
        <w:rPr>
          <w:lang w:eastAsia="ar-SA"/>
        </w:rPr>
      </w:pPr>
      <w:r>
        <w:rPr>
          <w:lang w:eastAsia="ar-SA"/>
        </w:rPr>
      </w:r>
    </w:p>
    <w:p>
      <w:pPr>
        <w:pStyle w:val="Normal"/>
        <w:keepNext w:val="true"/>
        <w:ind w:left="142" w:hanging="0"/>
        <w:jc w:val="center"/>
        <w:rPr>
          <w:b/>
          <w:b/>
        </w:rPr>
      </w:pPr>
      <w:r>
        <w:rPr>
          <w:b/>
        </w:rPr>
        <w:t>§11 Postanowienia ogólne</w:t>
      </w:r>
    </w:p>
    <w:p>
      <w:pPr>
        <w:pStyle w:val="Normal"/>
        <w:numPr>
          <w:ilvl w:val="6"/>
          <w:numId w:val="47"/>
        </w:numPr>
        <w:spacing w:lineRule="auto" w:line="240" w:before="0" w:after="0"/>
        <w:ind w:left="284" w:hanging="284"/>
        <w:jc w:val="both"/>
        <w:rPr>
          <w:lang w:eastAsia="ar-SA"/>
        </w:rPr>
      </w:pPr>
      <w:r>
        <w:rPr>
          <w:lang w:eastAsia="ar-SA"/>
        </w:rPr>
        <w:t>Umowa została sporządzona w dwóch jednobrzmiących egzemplarzach, po jednym dla każdej ze stron.</w:t>
      </w:r>
    </w:p>
    <w:p>
      <w:pPr>
        <w:pStyle w:val="Normal"/>
        <w:numPr>
          <w:ilvl w:val="6"/>
          <w:numId w:val="47"/>
        </w:numPr>
        <w:spacing w:lineRule="auto" w:line="240" w:before="0" w:after="0"/>
        <w:ind w:left="284" w:hanging="284"/>
        <w:jc w:val="both"/>
        <w:rPr>
          <w:lang w:eastAsia="ar-SA"/>
        </w:rPr>
      </w:pPr>
      <w:r>
        <w:rPr>
          <w:lang w:eastAsia="ar-SA"/>
        </w:rPr>
        <w:t xml:space="preserve">Strony zobowiązuję się do wskazania zmian adresów do doręczeń pod rygorem przyjęcia, </w:t>
        <w:br/>
        <w:t>że korespondencja wysłana pod adres dotychczasowy jest doręczana skutecznie.</w:t>
      </w:r>
    </w:p>
    <w:p>
      <w:pPr>
        <w:pStyle w:val="Normal"/>
        <w:jc w:val="both"/>
        <w:rPr>
          <w:lang w:eastAsia="ar-SA"/>
        </w:rPr>
      </w:pPr>
      <w:r>
        <w:rPr>
          <w:lang w:eastAsia="ar-SA"/>
        </w:rPr>
      </w:r>
    </w:p>
    <w:p>
      <w:pPr>
        <w:pStyle w:val="Normal"/>
        <w:jc w:val="both"/>
        <w:rPr>
          <w:lang w:eastAsia="ar-SA"/>
        </w:rPr>
      </w:pPr>
      <w:r>
        <w:rPr>
          <w:lang w:eastAsia="ar-SA"/>
        </w:rPr>
      </w:r>
    </w:p>
    <w:tbl>
      <w:tblPr>
        <w:tblW w:w="907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068"/>
        <w:gridCol w:w="2924"/>
        <w:gridCol w:w="3080"/>
      </w:tblGrid>
      <w:tr>
        <w:trPr/>
        <w:tc>
          <w:tcPr>
            <w:tcW w:w="3068" w:type="dxa"/>
            <w:tcBorders/>
            <w:shd w:fill="auto" w:val="clear"/>
          </w:tcPr>
          <w:p>
            <w:pPr>
              <w:pStyle w:val="Normal"/>
              <w:widowControl w:val="false"/>
              <w:spacing w:before="0" w:after="160"/>
              <w:jc w:val="center"/>
              <w:rPr/>
            </w:pPr>
            <w:r>
              <w:rPr>
                <w:b/>
              </w:rPr>
              <w:t>WYKONAWCA</w:t>
            </w:r>
          </w:p>
        </w:tc>
        <w:tc>
          <w:tcPr>
            <w:tcW w:w="2924" w:type="dxa"/>
            <w:tcBorders/>
            <w:shd w:fill="auto" w:val="clear"/>
          </w:tcPr>
          <w:p>
            <w:pPr>
              <w:pStyle w:val="Normal"/>
              <w:widowControl w:val="false"/>
              <w:spacing w:before="0" w:after="160"/>
              <w:jc w:val="center"/>
              <w:rPr/>
            </w:pPr>
            <w:r>
              <w:rPr/>
            </w:r>
          </w:p>
        </w:tc>
        <w:tc>
          <w:tcPr>
            <w:tcW w:w="3080" w:type="dxa"/>
            <w:tcBorders/>
            <w:shd w:fill="auto" w:val="clear"/>
          </w:tcPr>
          <w:p>
            <w:pPr>
              <w:pStyle w:val="Normal"/>
              <w:widowControl w:val="false"/>
              <w:spacing w:before="0" w:after="160"/>
              <w:jc w:val="center"/>
              <w:rPr/>
            </w:pPr>
            <w:r>
              <w:rPr>
                <w:b/>
              </w:rPr>
              <w:t>ZAMAWIAJĄCY</w:t>
            </w:r>
          </w:p>
        </w:tc>
      </w:tr>
    </w:tbl>
    <w:p>
      <w:pPr>
        <w:pStyle w:val="Normal"/>
        <w:rPr/>
      </w:pPr>
      <w:r>
        <w:rPr/>
      </w:r>
    </w:p>
    <w:p>
      <w:pPr>
        <w:pStyle w:val="BodyText211"/>
        <w:tabs>
          <w:tab w:val="clear" w:pos="0"/>
        </w:tabs>
        <w:spacing w:before="40" w:after="120"/>
        <w:rPr>
          <w:sz w:val="22"/>
          <w:szCs w:val="22"/>
        </w:rPr>
      </w:pPr>
      <w:r>
        <w:rPr>
          <w:sz w:val="22"/>
          <w:szCs w:val="22"/>
        </w:rPr>
      </w:r>
    </w:p>
    <w:p>
      <w:pPr>
        <w:pStyle w:val="BodyText211"/>
        <w:tabs>
          <w:tab w:val="clear" w:pos="0"/>
        </w:tabs>
        <w:spacing w:before="40" w:after="120"/>
        <w:rPr>
          <w:sz w:val="22"/>
          <w:szCs w:val="22"/>
        </w:rPr>
      </w:pPr>
      <w:r>
        <w:rPr>
          <w:sz w:val="22"/>
          <w:szCs w:val="22"/>
        </w:rPr>
      </w:r>
    </w:p>
    <w:p>
      <w:pPr>
        <w:pStyle w:val="BodyText211"/>
        <w:tabs>
          <w:tab w:val="clear" w:pos="0"/>
        </w:tabs>
        <w:spacing w:before="40" w:after="120"/>
        <w:rPr>
          <w:sz w:val="22"/>
          <w:szCs w:val="22"/>
        </w:rPr>
      </w:pPr>
      <w:r>
        <w:rPr>
          <w:sz w:val="22"/>
          <w:szCs w:val="22"/>
        </w:rPr>
      </w:r>
    </w:p>
    <w:p>
      <w:pPr>
        <w:pStyle w:val="BodyText211"/>
        <w:tabs>
          <w:tab w:val="clear" w:pos="0"/>
        </w:tabs>
        <w:spacing w:before="40" w:after="120"/>
        <w:rPr>
          <w:sz w:val="22"/>
          <w:szCs w:val="22"/>
        </w:rPr>
      </w:pPr>
      <w:r>
        <w:rPr>
          <w:sz w:val="22"/>
          <w:szCs w:val="22"/>
        </w:rPr>
      </w:r>
    </w:p>
    <w:p>
      <w:pPr>
        <w:pStyle w:val="BodyText211"/>
        <w:tabs>
          <w:tab w:val="clear" w:pos="0"/>
        </w:tabs>
        <w:spacing w:before="40" w:after="120"/>
        <w:rPr>
          <w:sz w:val="22"/>
          <w:szCs w:val="22"/>
        </w:rPr>
      </w:pPr>
      <w:r>
        <w:rPr>
          <w:sz w:val="22"/>
          <w:szCs w:val="22"/>
        </w:rPr>
      </w:r>
    </w:p>
    <w:p>
      <w:pPr>
        <w:pStyle w:val="BodyText211"/>
        <w:tabs>
          <w:tab w:val="clear" w:pos="0"/>
        </w:tabs>
        <w:spacing w:before="40" w:after="120"/>
        <w:rPr>
          <w:sz w:val="22"/>
          <w:szCs w:val="22"/>
        </w:rPr>
      </w:pPr>
      <w:r>
        <w:rPr>
          <w:sz w:val="22"/>
          <w:szCs w:val="22"/>
        </w:rPr>
      </w:r>
    </w:p>
    <w:p>
      <w:pPr>
        <w:pStyle w:val="Normal"/>
        <w:jc w:val="right"/>
        <w:rPr/>
      </w:pPr>
      <w:r>
        <w:rPr/>
        <w:t xml:space="preserve">                                                                                                                   </w:t>
      </w:r>
      <w:r>
        <w:rPr/>
        <w:t xml:space="preserve">Załącznik nr 2 do umowy </w:t>
      </w:r>
    </w:p>
    <w:p>
      <w:pPr>
        <w:pStyle w:val="Normal"/>
        <w:rPr/>
      </w:pPr>
      <w:r>
        <w:rPr/>
      </w:r>
    </w:p>
    <w:p>
      <w:pPr>
        <w:pStyle w:val="Normal"/>
        <w:tabs>
          <w:tab w:val="clear" w:pos="708"/>
          <w:tab w:val="left" w:pos="6240" w:leader="none"/>
        </w:tabs>
        <w:jc w:val="right"/>
        <w:rPr/>
      </w:pPr>
      <w:r>
        <mc:AlternateContent>
          <mc:Choice Requires="wpg">
            <w:drawing>
              <wp:anchor behindDoc="0" distT="0" distB="0" distL="0" distR="0" simplePos="0" locked="0" layoutInCell="0" allowOverlap="1" relativeHeight="47" wp14:anchorId="6543401E">
                <wp:simplePos x="0" y="0"/>
                <wp:positionH relativeFrom="margin">
                  <wp:align>left</wp:align>
                </wp:positionH>
                <wp:positionV relativeFrom="paragraph">
                  <wp:posOffset>269875</wp:posOffset>
                </wp:positionV>
                <wp:extent cx="2331085" cy="1165860"/>
                <wp:effectExtent l="0" t="38100" r="13335" b="0"/>
                <wp:wrapNone/>
                <wp:docPr id="4" name="Grupa 16"/>
                <a:graphic xmlns:a="http://schemas.openxmlformats.org/drawingml/2006/main">
                  <a:graphicData uri="http://schemas.microsoft.com/office/word/2010/wordprocessingGroup">
                    <wpg:wgp>
                      <wpg:cNvGrpSpPr/>
                      <wpg:grpSpPr>
                        <a:xfrm>
                          <a:off x="0" y="0"/>
                          <a:ext cx="2330280" cy="1165320"/>
                          <a:chOff x="0" y="270000"/>
                          <a:chExt cx="2330280" cy="1165320"/>
                        </a:xfrm>
                      </wpg:grpSpPr>
                      <wps:wsp>
                        <wps:cNvSpPr/>
                        <wps:spPr>
                          <a:xfrm>
                            <a:off x="0" y="0"/>
                            <a:ext cx="2330280" cy="1165320"/>
                          </a:xfrm>
                          <a:prstGeom prst="roundRect">
                            <a:avLst>
                              <a:gd name="adj" fmla="val 16667"/>
                            </a:avLst>
                          </a:prstGeom>
                          <a:solidFill>
                            <a:srgbClr val="ffffff"/>
                          </a:solidFill>
                          <a:ln w="9360">
                            <a:noFill/>
                          </a:ln>
                        </wps:spPr>
                        <wps:style>
                          <a:lnRef idx="0"/>
                          <a:fillRef idx="0"/>
                          <a:effectRef idx="0"/>
                          <a:fontRef idx="minor"/>
                        </wps:style>
                        <wps:bodyPr/>
                      </wps:wsp>
                      <wps:wsp>
                        <wps:cNvSpPr/>
                        <wps:spPr>
                          <a:xfrm>
                            <a:off x="405000" y="876240"/>
                            <a:ext cx="1520280" cy="192240"/>
                          </a:xfrm>
                          <a:prstGeom prst="rect">
                            <a:avLst/>
                          </a:prstGeom>
                          <a:solidFill>
                            <a:srgbClr val="ffffff"/>
                          </a:solid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0"/>
                                </w:rPr>
                                <w:t>pieczątka Wykonawcy</w:t>
                              </w:r>
                            </w:p>
                          </w:txbxContent>
                        </wps:txbx>
                        <wps:bodyPr lIns="90000" rIns="90000" tIns="45000" bIns="45000">
                          <a:noAutofit/>
                        </wps:bodyPr>
                      </wps:wsp>
                    </wpg:wgp>
                  </a:graphicData>
                </a:graphic>
              </wp:anchor>
            </w:drawing>
          </mc:Choice>
          <mc:Fallback>
            <w:pict>
              <v:group id="shape_0" alt="Grupa 16" style="position:absolute;margin-left:0pt;margin-top:21.25pt;width:183.5pt;height:91.75pt" coordorigin="0,425" coordsize="3670,1835">
                <v:rect id="shape_0" path="m0,0l-2147483645,0l-2147483645,-2147483646l0,-2147483646xe" fillcolor="white" stroked="f" style="position:absolute;left:638;top:1805;width:2393;height:302;mso-wrap-style:square;v-text-anchor:top;mso-position-horizontal:left;mso-position-horizontal-relative:margin">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Theme="minorHAnsi" w:cstheme="minorBidi" w:eastAsiaTheme="minorHAnsi" w:hAnsiTheme="minorHAnsi" w:ascii="Calibri" w:hAnsi="Calibri"/>
                            <w:color w:val="000000"/>
                          </w:rPr>
                          <w:t>pieczątka Wykonawcy</w:t>
                        </w:r>
                      </w:p>
                    </w:txbxContent>
                  </v:textbox>
                  <v:fill o:detectmouseclick="t" type="solid" color2="black"/>
                  <v:stroke color="#3465a4" joinstyle="round" endcap="flat"/>
                  <w10:wrap type="none"/>
                </v:rect>
              </v:group>
            </w:pict>
          </mc:Fallback>
        </mc:AlternateContent>
      </w:r>
      <w:r>
        <w:rPr/>
        <w:t>Żórawina, dn.…………………</w:t>
      </w:r>
    </w:p>
    <w:p>
      <w:pPr>
        <w:pStyle w:val="Normal"/>
        <w:ind w:left="4248" w:firstLine="708"/>
        <w:jc w:val="center"/>
        <w:rPr/>
      </w:pPr>
      <w:r>
        <w:rPr/>
      </w:r>
    </w:p>
    <w:p>
      <w:pPr>
        <w:pStyle w:val="Normal"/>
        <w:tabs>
          <w:tab w:val="clear" w:pos="708"/>
          <w:tab w:val="left" w:pos="6545" w:leader="none"/>
        </w:tabs>
        <w:rPr/>
      </w:pPr>
      <w:r>
        <w:rPr/>
      </w:r>
    </w:p>
    <w:p>
      <w:pPr>
        <w:pStyle w:val="Normal"/>
        <w:tabs>
          <w:tab w:val="clear" w:pos="708"/>
          <w:tab w:val="left" w:pos="6545" w:leader="none"/>
        </w:tabs>
        <w:rPr/>
      </w:pPr>
      <w:r>
        <w:rPr/>
      </w:r>
    </w:p>
    <w:p>
      <w:pPr>
        <w:pStyle w:val="Normal"/>
        <w:tabs>
          <w:tab w:val="clear" w:pos="708"/>
          <w:tab w:val="left" w:pos="6240" w:leader="none"/>
        </w:tabs>
        <w:rPr/>
      </w:pPr>
      <w:r>
        <w:rPr/>
        <w:tab/>
      </w:r>
    </w:p>
    <w:p>
      <w:pPr>
        <w:pStyle w:val="Normal"/>
        <w:tabs>
          <w:tab w:val="clear" w:pos="708"/>
          <w:tab w:val="left" w:pos="6240" w:leader="none"/>
        </w:tabs>
        <w:rPr/>
      </w:pPr>
      <w:r>
        <w:rPr/>
      </w:r>
    </w:p>
    <w:p>
      <w:pPr>
        <w:pStyle w:val="Normal"/>
        <w:tabs>
          <w:tab w:val="clear" w:pos="708"/>
          <w:tab w:val="left" w:pos="6240" w:leader="none"/>
        </w:tabs>
        <w:rPr>
          <w:b/>
          <w:b/>
          <w:u w:val="single"/>
        </w:rPr>
      </w:pPr>
      <w:r>
        <w:rPr>
          <w:b/>
          <w:u w:val="single"/>
        </w:rPr>
      </w:r>
    </w:p>
    <w:p>
      <w:pPr>
        <w:pStyle w:val="Normal"/>
        <w:tabs>
          <w:tab w:val="clear" w:pos="708"/>
          <w:tab w:val="left" w:pos="6240" w:leader="none"/>
        </w:tabs>
        <w:jc w:val="center"/>
        <w:rPr>
          <w:b/>
          <w:b/>
          <w:u w:val="single"/>
        </w:rPr>
      </w:pPr>
      <w:r>
        <w:rPr>
          <w:b/>
          <w:u w:val="single"/>
        </w:rPr>
        <w:t>WZÓR</w:t>
      </w:r>
    </w:p>
    <w:p>
      <w:pPr>
        <w:pStyle w:val="Normal"/>
        <w:tabs>
          <w:tab w:val="clear" w:pos="708"/>
          <w:tab w:val="left" w:pos="6240" w:leader="none"/>
        </w:tabs>
        <w:jc w:val="center"/>
        <w:rPr>
          <w:b/>
          <w:b/>
          <w:color w:val="FF0000"/>
          <w:u w:val="single"/>
        </w:rPr>
      </w:pPr>
      <w:r>
        <w:rPr>
          <w:b/>
        </w:rPr>
        <w:t xml:space="preserve">                                                                                                             </w:t>
      </w:r>
      <w:r>
        <w:rPr>
          <w:b/>
          <w:color w:val="FF0000"/>
        </w:rPr>
        <w:t xml:space="preserve"> </w:t>
      </w:r>
      <w:r>
        <w:rPr>
          <w:b/>
          <w:color w:val="FF0000"/>
          <w:u w:val="single"/>
        </w:rPr>
        <w:t xml:space="preserve">   </w:t>
      </w:r>
      <w:r>
        <w:rPr>
          <w:b/>
          <w:color w:val="FF0000"/>
          <w:u w:val="single"/>
        </w:rPr>
        <w:t>Dane Zamawiającego</w:t>
      </w:r>
    </w:p>
    <w:p>
      <w:pPr>
        <w:pStyle w:val="Normal"/>
        <w:tabs>
          <w:tab w:val="clear" w:pos="708"/>
          <w:tab w:val="left" w:pos="6240" w:leader="none"/>
        </w:tabs>
        <w:rPr/>
      </w:pPr>
      <w:r>
        <w:rPr/>
        <w:t>Nr sprawy: ………………………</w:t>
      </w:r>
    </w:p>
    <w:p>
      <w:pPr>
        <w:pStyle w:val="Normal"/>
        <w:tabs>
          <w:tab w:val="clear" w:pos="708"/>
          <w:tab w:val="left" w:pos="5416" w:leader="none"/>
        </w:tabs>
        <w:rPr/>
      </w:pPr>
      <w:r>
        <w:rPr/>
      </w:r>
    </w:p>
    <w:p>
      <w:pPr>
        <w:pStyle w:val="Normal"/>
        <w:tabs>
          <w:tab w:val="clear" w:pos="708"/>
          <w:tab w:val="left" w:pos="5416" w:leader="none"/>
        </w:tabs>
        <w:jc w:val="center"/>
        <w:rPr>
          <w:b/>
          <w:b/>
          <w:i/>
          <w:i/>
          <w:caps/>
        </w:rPr>
      </w:pPr>
      <w:r>
        <w:rPr>
          <w:b/>
          <w:i/>
          <w:caps/>
        </w:rPr>
        <w:t xml:space="preserve">PROTOKÓŁ ZDAWCZO – ODBIORCZY </w:t>
      </w:r>
    </w:p>
    <w:tbl>
      <w:tblPr>
        <w:tblW w:w="9279"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491"/>
        <w:gridCol w:w="3729"/>
        <w:gridCol w:w="3049"/>
        <w:gridCol w:w="718"/>
        <w:gridCol w:w="1292"/>
      </w:tblGrid>
      <w:tr>
        <w:trPr>
          <w:trHeight w:val="442" w:hRule="atLeast"/>
        </w:trPr>
        <w:tc>
          <w:tcPr>
            <w:tcW w:w="491" w:type="dxa"/>
            <w:tcBorders>
              <w:top w:val="double" w:sz="4" w:space="0" w:color="000000"/>
              <w:left w:val="double" w:sz="4" w:space="0" w:color="000000"/>
              <w:bottom w:val="double" w:sz="4" w:space="0" w:color="000000"/>
              <w:right w:val="single" w:sz="4" w:space="0" w:color="000000"/>
            </w:tcBorders>
            <w:shd w:fill="auto" w:val="clear"/>
            <w:vAlign w:val="center"/>
          </w:tcPr>
          <w:p>
            <w:pPr>
              <w:pStyle w:val="Normal"/>
              <w:widowControl w:val="false"/>
              <w:tabs>
                <w:tab w:val="clear" w:pos="708"/>
                <w:tab w:val="left" w:pos="5416" w:leader="none"/>
              </w:tabs>
              <w:spacing w:before="0" w:after="160"/>
              <w:jc w:val="center"/>
              <w:rPr>
                <w:b/>
                <w:b/>
              </w:rPr>
            </w:pPr>
            <w:r>
              <w:rPr>
                <w:b/>
              </w:rPr>
              <w:t>Lp.</w:t>
            </w:r>
          </w:p>
        </w:tc>
        <w:tc>
          <w:tcPr>
            <w:tcW w:w="3729" w:type="dxa"/>
            <w:tcBorders>
              <w:top w:val="double" w:sz="4" w:space="0" w:color="000000"/>
              <w:left w:val="single" w:sz="4" w:space="0" w:color="000000"/>
              <w:bottom w:val="double" w:sz="4" w:space="0" w:color="000000"/>
              <w:right w:val="single" w:sz="4" w:space="0" w:color="000000"/>
            </w:tcBorders>
            <w:shd w:fill="auto" w:val="clear"/>
            <w:vAlign w:val="center"/>
          </w:tcPr>
          <w:p>
            <w:pPr>
              <w:pStyle w:val="Normal"/>
              <w:widowControl w:val="false"/>
              <w:tabs>
                <w:tab w:val="clear" w:pos="708"/>
                <w:tab w:val="left" w:pos="5416" w:leader="none"/>
              </w:tabs>
              <w:spacing w:before="0" w:after="160"/>
              <w:jc w:val="center"/>
              <w:rPr>
                <w:b/>
                <w:b/>
              </w:rPr>
            </w:pPr>
            <w:r>
              <w:rPr>
                <w:b/>
              </w:rPr>
              <w:t>Nazwa urządzenia</w:t>
            </w:r>
          </w:p>
        </w:tc>
        <w:tc>
          <w:tcPr>
            <w:tcW w:w="3049" w:type="dxa"/>
            <w:tcBorders>
              <w:top w:val="double" w:sz="4" w:space="0" w:color="000000"/>
              <w:left w:val="single" w:sz="4" w:space="0" w:color="000000"/>
              <w:bottom w:val="double" w:sz="4" w:space="0" w:color="000000"/>
              <w:right w:val="single" w:sz="4" w:space="0" w:color="000000"/>
            </w:tcBorders>
            <w:shd w:fill="auto" w:val="clear"/>
            <w:vAlign w:val="center"/>
          </w:tcPr>
          <w:p>
            <w:pPr>
              <w:pStyle w:val="Normal"/>
              <w:widowControl w:val="false"/>
              <w:tabs>
                <w:tab w:val="clear" w:pos="708"/>
                <w:tab w:val="left" w:pos="5416" w:leader="none"/>
              </w:tabs>
              <w:spacing w:before="0" w:after="160"/>
              <w:jc w:val="center"/>
              <w:rPr>
                <w:b/>
                <w:b/>
              </w:rPr>
            </w:pPr>
            <w:r>
              <w:rPr>
                <w:b/>
              </w:rPr>
              <w:t>Nr seryjne</w:t>
            </w:r>
          </w:p>
        </w:tc>
        <w:tc>
          <w:tcPr>
            <w:tcW w:w="718" w:type="dxa"/>
            <w:tcBorders>
              <w:top w:val="double" w:sz="4" w:space="0" w:color="000000"/>
              <w:left w:val="single" w:sz="4" w:space="0" w:color="000000"/>
              <w:bottom w:val="double" w:sz="4" w:space="0" w:color="000000"/>
              <w:right w:val="single" w:sz="4" w:space="0" w:color="000000"/>
            </w:tcBorders>
            <w:shd w:fill="auto" w:val="clear"/>
            <w:vAlign w:val="center"/>
          </w:tcPr>
          <w:p>
            <w:pPr>
              <w:pStyle w:val="Normal"/>
              <w:widowControl w:val="false"/>
              <w:tabs>
                <w:tab w:val="clear" w:pos="708"/>
                <w:tab w:val="left" w:pos="5416" w:leader="none"/>
              </w:tabs>
              <w:spacing w:before="0" w:after="160"/>
              <w:jc w:val="center"/>
              <w:rPr>
                <w:b/>
                <w:b/>
              </w:rPr>
            </w:pPr>
            <w:r>
              <w:rPr>
                <w:b/>
              </w:rPr>
              <w:t>Szt.</w:t>
            </w:r>
          </w:p>
        </w:tc>
        <w:tc>
          <w:tcPr>
            <w:tcW w:w="1292" w:type="dxa"/>
            <w:tcBorders>
              <w:top w:val="double" w:sz="4" w:space="0" w:color="000000"/>
              <w:left w:val="single" w:sz="4" w:space="0" w:color="000000"/>
              <w:bottom w:val="double" w:sz="4" w:space="0" w:color="000000"/>
              <w:right w:val="double" w:sz="4" w:space="0" w:color="000000"/>
            </w:tcBorders>
            <w:shd w:fill="auto" w:val="clear"/>
            <w:vAlign w:val="center"/>
          </w:tcPr>
          <w:p>
            <w:pPr>
              <w:pStyle w:val="Normal"/>
              <w:widowControl w:val="false"/>
              <w:tabs>
                <w:tab w:val="clear" w:pos="708"/>
                <w:tab w:val="left" w:pos="5416" w:leader="none"/>
              </w:tabs>
              <w:spacing w:before="0" w:after="160"/>
              <w:jc w:val="center"/>
              <w:rPr>
                <w:b/>
                <w:b/>
              </w:rPr>
            </w:pPr>
            <w:r>
              <w:rPr>
                <w:b/>
              </w:rPr>
              <w:t>Uwagi</w:t>
            </w:r>
          </w:p>
        </w:tc>
      </w:tr>
      <w:tr>
        <w:trPr>
          <w:trHeight w:val="642" w:hRule="atLeast"/>
        </w:trPr>
        <w:tc>
          <w:tcPr>
            <w:tcW w:w="491" w:type="dxa"/>
            <w:tcBorders>
              <w:top w:val="double" w:sz="4" w:space="0" w:color="000000"/>
              <w:left w:val="double" w:sz="4" w:space="0" w:color="000000"/>
              <w:bottom w:val="double" w:sz="4" w:space="0" w:color="000000"/>
              <w:right w:val="single" w:sz="4" w:space="0" w:color="000000"/>
            </w:tcBorders>
            <w:shd w:fill="auto" w:val="clear"/>
          </w:tcPr>
          <w:p>
            <w:pPr>
              <w:pStyle w:val="Normal"/>
              <w:widowControl w:val="false"/>
              <w:tabs>
                <w:tab w:val="clear" w:pos="708"/>
                <w:tab w:val="left" w:pos="5416" w:leader="none"/>
              </w:tabs>
              <w:rPr/>
            </w:pPr>
            <w:r>
              <w:rPr/>
            </w:r>
          </w:p>
          <w:p>
            <w:pPr>
              <w:pStyle w:val="Normal"/>
              <w:widowControl w:val="false"/>
              <w:tabs>
                <w:tab w:val="clear" w:pos="708"/>
                <w:tab w:val="left" w:pos="5416" w:leader="none"/>
              </w:tabs>
              <w:spacing w:before="0" w:after="160"/>
              <w:jc w:val="center"/>
              <w:rPr/>
            </w:pPr>
            <w:r>
              <w:rPr/>
              <w:t>1.</w:t>
            </w:r>
          </w:p>
        </w:tc>
        <w:tc>
          <w:tcPr>
            <w:tcW w:w="3729" w:type="dxa"/>
            <w:tcBorders>
              <w:top w:val="double" w:sz="4" w:space="0" w:color="000000"/>
              <w:left w:val="single" w:sz="4" w:space="0" w:color="000000"/>
              <w:bottom w:val="double" w:sz="4" w:space="0" w:color="000000"/>
              <w:right w:val="single" w:sz="4" w:space="0" w:color="000000"/>
            </w:tcBorders>
            <w:shd w:fill="auto" w:val="clear"/>
          </w:tcPr>
          <w:p>
            <w:pPr>
              <w:pStyle w:val="Normal"/>
              <w:widowControl w:val="false"/>
              <w:spacing w:before="0" w:after="160"/>
              <w:rPr/>
            </w:pPr>
            <w:r>
              <w:rPr/>
            </w:r>
          </w:p>
        </w:tc>
        <w:tc>
          <w:tcPr>
            <w:tcW w:w="3049" w:type="dxa"/>
            <w:tcBorders>
              <w:top w:val="double" w:sz="4" w:space="0" w:color="000000"/>
              <w:left w:val="single" w:sz="4" w:space="0" w:color="000000"/>
              <w:bottom w:val="double" w:sz="4" w:space="0" w:color="000000"/>
              <w:right w:val="single" w:sz="4" w:space="0" w:color="000000"/>
            </w:tcBorders>
            <w:shd w:fill="auto" w:val="clear"/>
            <w:vAlign w:val="center"/>
          </w:tcPr>
          <w:p>
            <w:pPr>
              <w:pStyle w:val="Normal"/>
              <w:widowControl w:val="false"/>
              <w:tabs>
                <w:tab w:val="clear" w:pos="708"/>
                <w:tab w:val="left" w:pos="5416" w:leader="none"/>
              </w:tabs>
              <w:spacing w:before="0" w:after="160"/>
              <w:rPr/>
            </w:pPr>
            <w:r>
              <w:rPr/>
            </w:r>
          </w:p>
        </w:tc>
        <w:tc>
          <w:tcPr>
            <w:tcW w:w="718" w:type="dxa"/>
            <w:tcBorders>
              <w:top w:val="double" w:sz="4" w:space="0" w:color="000000"/>
              <w:left w:val="single" w:sz="4" w:space="0" w:color="000000"/>
              <w:bottom w:val="double" w:sz="4" w:space="0" w:color="000000"/>
              <w:right w:val="single" w:sz="4" w:space="0" w:color="000000"/>
            </w:tcBorders>
            <w:shd w:fill="auto" w:val="clear"/>
            <w:vAlign w:val="center"/>
          </w:tcPr>
          <w:p>
            <w:pPr>
              <w:pStyle w:val="Normal"/>
              <w:widowControl w:val="false"/>
              <w:tabs>
                <w:tab w:val="clear" w:pos="708"/>
                <w:tab w:val="left" w:pos="5416" w:leader="none"/>
              </w:tabs>
              <w:spacing w:before="0" w:after="160"/>
              <w:rPr/>
            </w:pPr>
            <w:r>
              <w:rPr/>
            </w:r>
          </w:p>
        </w:tc>
        <w:tc>
          <w:tcPr>
            <w:tcW w:w="1292" w:type="dxa"/>
            <w:tcBorders>
              <w:top w:val="double" w:sz="4" w:space="0" w:color="000000"/>
              <w:left w:val="single" w:sz="4" w:space="0" w:color="000000"/>
              <w:bottom w:val="double" w:sz="4" w:space="0" w:color="000000"/>
              <w:right w:val="double" w:sz="4" w:space="0" w:color="000000"/>
            </w:tcBorders>
            <w:shd w:fill="auto" w:val="clear"/>
            <w:vAlign w:val="center"/>
          </w:tcPr>
          <w:p>
            <w:pPr>
              <w:pStyle w:val="Normal"/>
              <w:widowControl w:val="false"/>
              <w:tabs>
                <w:tab w:val="clear" w:pos="708"/>
                <w:tab w:val="left" w:pos="5416" w:leader="none"/>
              </w:tabs>
              <w:spacing w:before="0" w:after="160"/>
              <w:rPr/>
            </w:pPr>
            <w:r>
              <w:rPr/>
            </w:r>
          </w:p>
        </w:tc>
      </w:tr>
      <w:tr>
        <w:trPr>
          <w:trHeight w:val="642" w:hRule="atLeast"/>
        </w:trPr>
        <w:tc>
          <w:tcPr>
            <w:tcW w:w="491" w:type="dxa"/>
            <w:tcBorders>
              <w:top w:val="double" w:sz="4" w:space="0" w:color="000000"/>
              <w:left w:val="double" w:sz="4" w:space="0" w:color="000000"/>
              <w:bottom w:val="double" w:sz="4" w:space="0" w:color="000000"/>
              <w:right w:val="single" w:sz="4" w:space="0" w:color="000000"/>
            </w:tcBorders>
            <w:shd w:fill="auto" w:val="clear"/>
          </w:tcPr>
          <w:p>
            <w:pPr>
              <w:pStyle w:val="Normal"/>
              <w:widowControl w:val="false"/>
              <w:tabs>
                <w:tab w:val="clear" w:pos="708"/>
                <w:tab w:val="left" w:pos="5416" w:leader="none"/>
              </w:tabs>
              <w:spacing w:before="0" w:after="160"/>
              <w:jc w:val="center"/>
              <w:rPr/>
            </w:pPr>
            <w:r>
              <w:rPr/>
              <w:t>2.</w:t>
            </w:r>
          </w:p>
        </w:tc>
        <w:tc>
          <w:tcPr>
            <w:tcW w:w="3729" w:type="dxa"/>
            <w:tcBorders>
              <w:top w:val="double" w:sz="4" w:space="0" w:color="000000"/>
              <w:left w:val="single" w:sz="4" w:space="0" w:color="000000"/>
              <w:bottom w:val="double" w:sz="4" w:space="0" w:color="000000"/>
              <w:right w:val="single" w:sz="4" w:space="0" w:color="000000"/>
            </w:tcBorders>
            <w:shd w:fill="auto" w:val="clear"/>
          </w:tcPr>
          <w:p>
            <w:pPr>
              <w:pStyle w:val="Normal"/>
              <w:widowControl w:val="false"/>
              <w:spacing w:before="0" w:after="160"/>
              <w:rPr/>
            </w:pPr>
            <w:r>
              <w:rPr/>
            </w:r>
          </w:p>
        </w:tc>
        <w:tc>
          <w:tcPr>
            <w:tcW w:w="3049" w:type="dxa"/>
            <w:tcBorders>
              <w:top w:val="double" w:sz="4" w:space="0" w:color="000000"/>
              <w:left w:val="single" w:sz="4" w:space="0" w:color="000000"/>
              <w:bottom w:val="double" w:sz="4" w:space="0" w:color="000000"/>
              <w:right w:val="single" w:sz="4" w:space="0" w:color="000000"/>
            </w:tcBorders>
            <w:shd w:fill="auto" w:val="clear"/>
            <w:vAlign w:val="center"/>
          </w:tcPr>
          <w:p>
            <w:pPr>
              <w:pStyle w:val="Normal"/>
              <w:widowControl w:val="false"/>
              <w:tabs>
                <w:tab w:val="clear" w:pos="708"/>
                <w:tab w:val="left" w:pos="5416" w:leader="none"/>
              </w:tabs>
              <w:spacing w:before="0" w:after="160"/>
              <w:rPr/>
            </w:pPr>
            <w:r>
              <w:rPr/>
            </w:r>
          </w:p>
        </w:tc>
        <w:tc>
          <w:tcPr>
            <w:tcW w:w="718" w:type="dxa"/>
            <w:tcBorders>
              <w:top w:val="double" w:sz="4" w:space="0" w:color="000000"/>
              <w:left w:val="single" w:sz="4" w:space="0" w:color="000000"/>
              <w:bottom w:val="double" w:sz="4" w:space="0" w:color="000000"/>
              <w:right w:val="single" w:sz="4" w:space="0" w:color="000000"/>
            </w:tcBorders>
            <w:shd w:fill="auto" w:val="clear"/>
            <w:vAlign w:val="center"/>
          </w:tcPr>
          <w:p>
            <w:pPr>
              <w:pStyle w:val="Normal"/>
              <w:widowControl w:val="false"/>
              <w:tabs>
                <w:tab w:val="clear" w:pos="708"/>
                <w:tab w:val="left" w:pos="5416" w:leader="none"/>
              </w:tabs>
              <w:spacing w:before="0" w:after="160"/>
              <w:rPr/>
            </w:pPr>
            <w:r>
              <w:rPr/>
            </w:r>
          </w:p>
        </w:tc>
        <w:tc>
          <w:tcPr>
            <w:tcW w:w="1292" w:type="dxa"/>
            <w:tcBorders>
              <w:top w:val="double" w:sz="4" w:space="0" w:color="000000"/>
              <w:left w:val="single" w:sz="4" w:space="0" w:color="000000"/>
              <w:bottom w:val="double" w:sz="4" w:space="0" w:color="000000"/>
              <w:right w:val="double" w:sz="4" w:space="0" w:color="000000"/>
            </w:tcBorders>
            <w:shd w:fill="auto" w:val="clear"/>
            <w:vAlign w:val="center"/>
          </w:tcPr>
          <w:p>
            <w:pPr>
              <w:pStyle w:val="Normal"/>
              <w:widowControl w:val="false"/>
              <w:tabs>
                <w:tab w:val="clear" w:pos="708"/>
                <w:tab w:val="left" w:pos="5416" w:leader="none"/>
              </w:tabs>
              <w:spacing w:before="0" w:after="160"/>
              <w:rPr/>
            </w:pPr>
            <w:r>
              <w:rPr/>
            </w:r>
          </w:p>
        </w:tc>
      </w:tr>
    </w:tbl>
    <w:p>
      <w:pPr>
        <w:pStyle w:val="Normal"/>
        <w:tabs>
          <w:tab w:val="clear" w:pos="708"/>
          <w:tab w:val="left" w:pos="5416" w:leader="none"/>
        </w:tabs>
        <w:jc w:val="both"/>
        <w:rPr/>
      </w:pPr>
      <w:r>
        <w:rPr/>
      </w:r>
    </w:p>
    <w:p>
      <w:pPr>
        <w:pStyle w:val="Normal"/>
        <w:tabs>
          <w:tab w:val="clear" w:pos="708"/>
          <w:tab w:val="left" w:pos="5416" w:leader="none"/>
        </w:tabs>
        <w:jc w:val="both"/>
        <w:rPr/>
      </w:pPr>
      <w:r>
        <w:rPr/>
        <w:t>UWAGI: ……………………………………………………………………………………………………</w:t>
      </w:r>
    </w:p>
    <w:tbl>
      <w:tblPr>
        <w:tblW w:w="918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180"/>
      </w:tblGrid>
      <w:tr>
        <w:trPr>
          <w:trHeight w:val="795" w:hRule="atLeast"/>
        </w:trPr>
        <w:tc>
          <w:tcPr>
            <w:tcW w:w="9180" w:type="dxa"/>
            <w:tcBorders/>
            <w:shd w:fill="auto" w:val="clear"/>
          </w:tcPr>
          <w:p>
            <w:pPr>
              <w:pStyle w:val="Normal"/>
              <w:widowControl w:val="false"/>
              <w:tabs>
                <w:tab w:val="clear" w:pos="708"/>
                <w:tab w:val="left" w:pos="5416" w:leader="none"/>
              </w:tabs>
              <w:spacing w:before="0" w:after="160"/>
              <w:rPr/>
            </w:pPr>
            <w:r>
              <w:rPr/>
            </w:r>
          </w:p>
        </w:tc>
      </w:tr>
      <w:tr>
        <w:trPr>
          <w:trHeight w:val="795" w:hRule="atLeast"/>
        </w:trPr>
        <w:tc>
          <w:tcPr>
            <w:tcW w:w="9180" w:type="dxa"/>
            <w:tcBorders/>
            <w:shd w:fill="auto" w:val="clear"/>
          </w:tcPr>
          <w:p>
            <w:pPr>
              <w:pStyle w:val="Normal"/>
              <w:widowControl w:val="false"/>
              <w:tabs>
                <w:tab w:val="clear" w:pos="708"/>
                <w:tab w:val="left" w:pos="5416" w:leader="none"/>
              </w:tabs>
              <w:rPr/>
            </w:pPr>
            <w:r>
              <w:rPr/>
              <w:t xml:space="preserve"> </w:t>
            </w:r>
            <w:r>
              <w:rPr/>
              <w:t>Przekazał:                                                                                                                                                       Podpis upoważnionego pracownika Wykonawcy…………………………………</w:t>
            </w:r>
          </w:p>
          <w:p>
            <w:pPr>
              <w:pStyle w:val="Normal"/>
              <w:widowControl w:val="false"/>
              <w:tabs>
                <w:tab w:val="clear" w:pos="708"/>
                <w:tab w:val="left" w:pos="5416" w:leader="none"/>
              </w:tabs>
              <w:jc w:val="right"/>
              <w:rPr/>
            </w:pPr>
            <w:r>
              <w:rPr/>
              <w:t xml:space="preserve">                                              </w:t>
            </w:r>
          </w:p>
          <w:p>
            <w:pPr>
              <w:pStyle w:val="Normal"/>
              <w:widowControl w:val="false"/>
              <w:tabs>
                <w:tab w:val="clear" w:pos="708"/>
                <w:tab w:val="left" w:pos="5416" w:leader="none"/>
              </w:tabs>
              <w:spacing w:before="0" w:after="160"/>
              <w:rPr/>
            </w:pPr>
            <w:r>
              <w:rPr/>
              <w:t xml:space="preserve"> </w:t>
            </w:r>
            <w:r>
              <w:rPr/>
              <w:t>Odebrał:                                                                                                                                                         Podpis upoważnionego pracownika Zamawiającego………………………………</w:t>
            </w:r>
          </w:p>
        </w:tc>
      </w:tr>
    </w:tbl>
    <w:p>
      <w:pPr>
        <w:pStyle w:val="Normal"/>
        <w:spacing w:before="0" w:after="160"/>
        <w:rPr/>
      </w:pPr>
      <w:r>
        <w:rPr/>
      </w:r>
    </w:p>
    <w:sectPr>
      <w:headerReference w:type="default" r:id="rId19"/>
      <w:type w:val="nextPage"/>
      <w:pgSz w:w="11906" w:h="16838"/>
      <w:pgMar w:left="1417" w:right="1417" w:header="708"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Marigold (W1)">
    <w:charset w:val="ee"/>
    <w:family w:val="roman"/>
    <w:pitch w:val="variable"/>
  </w:font>
  <w:font w:name="Calibri">
    <w:charset w:val="ee"/>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5"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b w:val="false"/>
        <w:szCs w:val="22"/>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rPr>
        <w:sz w:val="24"/>
        <w:b w:val="false"/>
        <w:szCs w:val="22"/>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rPr>
        <w:sz w:val="24"/>
        <w:b w:val="false"/>
        <w:szCs w:val="24"/>
        <w:rFonts w:ascii="Times New Roman" w:hAnsi="Times New Roman"/>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lvl w:ilvl="0">
      <w:start w:val="1"/>
      <w:numFmt w:val="decimal"/>
      <w:lvlText w:val="%1."/>
      <w:lvlJc w:val="left"/>
      <w:pPr>
        <w:tabs>
          <w:tab w:val="num" w:pos="0"/>
        </w:tabs>
        <w:ind w:left="360" w:hanging="360"/>
      </w:pPr>
      <w:rPr>
        <w:sz w:val="24"/>
        <w:i w:val="false"/>
        <w:b/>
        <w:bCs/>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2"/>
      <w:numFmt w:val="decimal"/>
      <w:lvlText w:val="%1)"/>
      <w:lvlJc w:val="left"/>
      <w:pPr>
        <w:tabs>
          <w:tab w:val="num" w:pos="720"/>
        </w:tabs>
        <w:ind w:left="720" w:hanging="360"/>
      </w:pPr>
      <w:rPr>
        <w:sz w:val="24"/>
        <w:b w:val="false"/>
        <w:szCs w:val="22"/>
        <w:rFonts w:ascii="Times New Roman" w:hAnsi="Times New Roman"/>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6"/>
      <w:numFmt w:val="decimal"/>
      <w:lvlText w:val="%1)"/>
      <w:lvlJc w:val="left"/>
      <w:pPr>
        <w:tabs>
          <w:tab w:val="num" w:pos="0"/>
        </w:tabs>
        <w:ind w:left="644" w:hanging="360"/>
      </w:pPr>
      <w:rPr>
        <w:rFonts w:ascii="Times New Roman" w:hAnsi="Times New Roman"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lvl w:ilvl="0">
      <w:start w:val="2"/>
      <w:numFmt w:val="decimal"/>
      <w:lvlText w:val="%1."/>
      <w:lvlJc w:val="left"/>
      <w:pPr>
        <w:tabs>
          <w:tab w:val="num" w:pos="0"/>
        </w:tabs>
        <w:ind w:left="720" w:hanging="360"/>
      </w:pPr>
      <w:rPr>
        <w:sz w:val="24"/>
        <w:b w:val="false"/>
        <w:rFonts w:ascii="Times New Roman" w:hAnsi="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lvl w:ilvl="0">
      <w:start w:val="1"/>
      <w:numFmt w:val="decimal"/>
      <w:lvlText w:val="%1."/>
      <w:lvlJc w:val="left"/>
      <w:pPr>
        <w:tabs>
          <w:tab w:val="num" w:pos="0"/>
        </w:tabs>
        <w:ind w:left="360" w:hanging="360"/>
      </w:pPr>
      <w:rPr>
        <w:sz w:val="24"/>
        <w:i w:val="false"/>
        <w:b/>
        <w:iCs/>
        <w:bCs/>
        <w:rFonts w:ascii="Times New Roman" w:hAnsi="Times New Roman"/>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2"/>
      <w:numFmt w:val="decimal"/>
      <w:lvlText w:val="%1."/>
      <w:lvlJc w:val="left"/>
      <w:pPr>
        <w:tabs>
          <w:tab w:val="num" w:pos="0"/>
        </w:tabs>
        <w:ind w:left="218" w:hanging="360"/>
      </w:pPr>
      <w:rPr>
        <w:sz w:val="24"/>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5">
    <w:lvl w:ilvl="0">
      <w:start w:val="1"/>
      <w:numFmt w:val="decimal"/>
      <w:lvlText w:val="%1)"/>
      <w:lvlJc w:val="left"/>
      <w:pPr>
        <w:tabs>
          <w:tab w:val="num" w:pos="0"/>
        </w:tabs>
        <w:ind w:left="360" w:hanging="360"/>
      </w:pPr>
      <w:rPr>
        <w:sz w:val="24"/>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lvl w:ilvl="0">
      <w:start w:val="1"/>
      <w:numFmt w:val="lowerLetter"/>
      <w:lvlText w:val="%1)"/>
      <w:lvlJc w:val="left"/>
      <w:pPr>
        <w:tabs>
          <w:tab w:val="num" w:pos="0"/>
        </w:tabs>
        <w:ind w:left="360" w:hanging="360"/>
      </w:pPr>
      <w:rPr>
        <w:sz w:val="24"/>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sz w:val="24"/>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lowerLetter"/>
      <w:lvlText w:val="%1)"/>
      <w:lvlJc w:val="left"/>
      <w:pPr>
        <w:tabs>
          <w:tab w:val="num" w:pos="0"/>
        </w:tabs>
        <w:ind w:left="360" w:hanging="360"/>
      </w:pPr>
      <w:rPr>
        <w:sz w:val="24"/>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lvl w:ilvl="0">
      <w:start w:val="1"/>
      <w:numFmt w:val="bullet"/>
      <w:lvlText w:val=""/>
      <w:lvlJc w:val="left"/>
      <w:pPr>
        <w:tabs>
          <w:tab w:val="num" w:pos="0"/>
        </w:tabs>
        <w:ind w:left="360" w:hanging="360"/>
      </w:pPr>
      <w:rPr>
        <w:rFonts w:ascii="Symbol" w:hAnsi="Symbol" w:cs="Symbol" w:hint="default"/>
        <w:sz w:val="2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lvl w:ilvl="0">
      <w:start w:val="1"/>
      <w:numFmt w:val="bullet"/>
      <w:lvlText w:val="-"/>
      <w:lvlJc w:val="left"/>
      <w:pPr>
        <w:tabs>
          <w:tab w:val="num" w:pos="0"/>
        </w:tabs>
        <w:ind w:left="644" w:hanging="360"/>
      </w:pPr>
      <w:rPr>
        <w:rFonts w:ascii="Arial" w:hAnsi="Arial" w:cs="Arial" w:hint="default"/>
        <w:sz w:val="24"/>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1">
    <w:lvl w:ilvl="0">
      <w:start w:val="1"/>
      <w:numFmt w:val="lowerLetter"/>
      <w:lvlText w:val="%1)"/>
      <w:lvlJc w:val="left"/>
      <w:pPr>
        <w:tabs>
          <w:tab w:val="num" w:pos="0"/>
        </w:tabs>
        <w:ind w:left="360" w:hanging="360"/>
      </w:pPr>
      <w:rPr>
        <w:sz w:val="24"/>
        <w:b w:val="false"/>
        <w:bCs/>
        <w:rFonts w:ascii="Times New Roman" w:hAnsi="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lvl w:ilvl="0">
      <w:start w:val="1"/>
      <w:numFmt w:val="decimal"/>
      <w:lvlText w:val="%1."/>
      <w:lvlJc w:val="left"/>
      <w:pPr>
        <w:tabs>
          <w:tab w:val="num" w:pos="0"/>
        </w:tabs>
        <w:ind w:left="360" w:hanging="360"/>
      </w:pPr>
      <w:rPr>
        <w:sz w:val="24"/>
        <w:b/>
        <w:bCs/>
        <w:rFonts w:ascii="Times New Roman" w:hAnsi="Times New Roman"/>
      </w:rPr>
    </w:lvl>
    <w:lvl w:ilvl="1">
      <w:start w:val="1"/>
      <w:numFmt w:val="decimal"/>
      <w:lvlText w:val="%2)"/>
      <w:lvlJc w:val="left"/>
      <w:pPr>
        <w:tabs>
          <w:tab w:val="num" w:pos="0"/>
        </w:tabs>
        <w:ind w:left="1080" w:hanging="360"/>
      </w:pPr>
      <w:rPr>
        <w:sz w:val="24"/>
        <w:b w:val="false"/>
        <w:rFonts w:ascii="Times New Roman" w:hAnsi="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4"/>
        <w:b w:val="false"/>
        <w:rFonts w:ascii="Times New Roman" w:hAnsi="Times New Roman"/>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lvl w:ilvl="0">
      <w:start w:val="1"/>
      <w:numFmt w:val="lowerLetter"/>
      <w:lvlText w:val="%1)"/>
      <w:lvlJc w:val="left"/>
      <w:pPr>
        <w:tabs>
          <w:tab w:val="num" w:pos="0"/>
        </w:tabs>
        <w:ind w:left="777" w:hanging="360"/>
      </w:pPr>
      <w:rPr>
        <w:sz w:val="24"/>
        <w:i w:val="false"/>
        <w:b w:val="false"/>
        <w:szCs w:val="22"/>
        <w:rFonts w:ascii="Times New Roman" w:hAnsi="Times New Roman" w:eastAsia="Times New Roman"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6">
    <w:lvl w:ilvl="0">
      <w:start w:val="1"/>
      <w:numFmt w:val="lowerLetter"/>
      <w:lvlText w:val="%1)"/>
      <w:lvlJc w:val="left"/>
      <w:pPr>
        <w:tabs>
          <w:tab w:val="num" w:pos="0"/>
        </w:tabs>
        <w:ind w:left="720" w:hanging="360"/>
      </w:pPr>
      <w:rPr>
        <w:rFonts w:ascii="Times New Roman" w:hAnsi="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360" w:hanging="360"/>
      </w:pPr>
      <w:rPr>
        <w:sz w:val="22"/>
        <w:b/>
        <w:szCs w:val="22"/>
      </w:rPr>
    </w:lvl>
    <w:lvl w:ilvl="1">
      <w:start w:val="2"/>
      <w:numFmt w:val="decimal"/>
      <w:lvlText w:val="%2)"/>
      <w:lvlJc w:val="left"/>
      <w:pPr>
        <w:tabs>
          <w:tab w:val="num" w:pos="0"/>
        </w:tabs>
        <w:ind w:left="432" w:hanging="432"/>
      </w:pPr>
      <w:rPr>
        <w:sz w:val="24"/>
        <w:b w:val="false"/>
        <w:rFonts w:ascii="Times New Roman" w:hAnsi="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29">
    <w:lvl w:ilvl="0">
      <w:start w:val="2"/>
      <w:numFmt w:val="decimal"/>
      <w:lvlText w:val="%1)"/>
      <w:lvlJc w:val="left"/>
      <w:pPr>
        <w:tabs>
          <w:tab w:val="num" w:pos="0"/>
        </w:tabs>
        <w:ind w:left="720" w:hanging="360"/>
      </w:pPr>
      <w:rPr>
        <w:sz w:val="24"/>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6"/>
      <w:numFmt w:val="decimal"/>
      <w:lvlText w:val="%1)"/>
      <w:lvlJc w:val="left"/>
      <w:pPr>
        <w:tabs>
          <w:tab w:val="num" w:pos="0"/>
        </w:tabs>
        <w:ind w:left="360" w:hanging="360"/>
      </w:pPr>
      <w:rPr>
        <w:sz w:val="24"/>
        <w:b w:val="false"/>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2"/>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32">
    <w:lvl w:ilvl="0">
      <w:start w:val="1"/>
      <w:numFmt w:val="decimal"/>
      <w:lvlText w:val=" %1."/>
      <w:lvlJc w:val="left"/>
      <w:pPr>
        <w:tabs>
          <w:tab w:val="num" w:pos="720"/>
        </w:tabs>
        <w:ind w:left="720" w:hanging="357"/>
      </w:pPr>
    </w:lvl>
    <w:lvl w:ilvl="1">
      <w:start w:val="1"/>
      <w:numFmt w:val="decimal"/>
      <w:lvlText w:val=" %1.%2."/>
      <w:lvlJc w:val="left"/>
      <w:pPr>
        <w:tabs>
          <w:tab w:val="num" w:pos="0"/>
        </w:tabs>
        <w:ind w:left="0" w:hanging="0"/>
      </w:pPr>
    </w:lvl>
    <w:lvl w:ilvl="2">
      <w:start w:val="1"/>
      <w:numFmt w:val="decimal"/>
      <w:lvlText w:val="%3."/>
      <w:lvlJc w:val="left"/>
      <w:pPr>
        <w:tabs>
          <w:tab w:val="num" w:pos="720"/>
        </w:tabs>
        <w:ind w:left="720" w:hanging="357"/>
      </w:p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33">
    <w:lvl w:ilvl="0">
      <w:start w:val="1"/>
      <w:numFmt w:val="decimal"/>
      <w:lvlText w:val="%1."/>
      <w:lvlJc w:val="left"/>
      <w:pPr>
        <w:tabs>
          <w:tab w:val="num" w:pos="0"/>
        </w:tabs>
        <w:ind w:left="720" w:hanging="360"/>
      </w:pPr>
      <w:rPr>
        <w:sz w:val="24"/>
        <w:i w:val="false"/>
        <w:b w:val="false"/>
        <w:rFonts w:ascii="Times New Roman" w:hAnsi="Times New Roman"/>
        <w:color w:val="auto"/>
      </w:rPr>
    </w:lvl>
    <w:lvl w:ilvl="1">
      <w:start w:val="1"/>
      <w:numFmt w:val="decimal"/>
      <w:lvlText w:val="%2o"/>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o"/>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o"/>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34">
    <w:lvl w:ilvl="0">
      <w:start w:val="1"/>
      <w:numFmt w:val="bullet"/>
      <w:lvlText w:val=""/>
      <w:lvlJc w:val="left"/>
      <w:pPr>
        <w:tabs>
          <w:tab w:val="num" w:pos="0"/>
        </w:tabs>
        <w:ind w:left="1572" w:hanging="360"/>
      </w:pPr>
      <w:rPr>
        <w:rFonts w:ascii="Symbol" w:hAnsi="Symbol" w:cs="Symbol" w:hint="default"/>
        <w:sz w:val="24"/>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35">
    <w:lvl w:ilvl="0">
      <w:start w:val="1"/>
      <w:numFmt w:val="decimal"/>
      <w:lvlText w:val="%1)"/>
      <w:lvlJc w:val="left"/>
      <w:pPr>
        <w:tabs>
          <w:tab w:val="num" w:pos="0"/>
        </w:tabs>
        <w:ind w:left="360" w:hanging="360"/>
      </w:pPr>
      <w:rPr>
        <w:sz w:val="22"/>
        <w:b/>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8">
    <w:lvl w:ilvl="0">
      <w:start w:val="1"/>
      <w:numFmt w:val="decimal"/>
      <w:lvlText w:val="%1)"/>
      <w:lvlJc w:val="left"/>
      <w:pPr>
        <w:tabs>
          <w:tab w:val="num" w:pos="0"/>
        </w:tabs>
        <w:ind w:left="836" w:hanging="708"/>
      </w:pPr>
      <w:rPr>
        <w:dstrike w:val="false"/>
        <w:strike w:val="false"/>
        <w:sz w:val="22"/>
        <w:spacing w:val="-12"/>
        <w:b w:val="false"/>
        <w:szCs w:val="22"/>
        <w:bCs w:val="false"/>
        <w:w w:val="100"/>
        <w:rFonts w:eastAsia="Times New Roman" w:cs="Times New Roman"/>
      </w:rPr>
    </w:lvl>
    <w:lvl w:ilvl="1">
      <w:start w:val="1"/>
      <w:numFmt w:val="decimal"/>
      <w:lvlText w:val="%1.%2."/>
      <w:lvlJc w:val="left"/>
      <w:pPr>
        <w:tabs>
          <w:tab w:val="num" w:pos="0"/>
        </w:tabs>
        <w:ind w:left="627" w:hanging="500"/>
      </w:pPr>
      <w:rPr>
        <w:sz w:val="18"/>
        <w:spacing w:val="-4"/>
        <w:b w:val="false"/>
        <w:szCs w:val="18"/>
        <w:bCs w:val="false"/>
        <w:w w:val="100"/>
        <w:rFonts w:cs="Arial"/>
      </w:rPr>
    </w:lvl>
    <w:lvl w:ilvl="2">
      <w:start w:val="1"/>
      <w:numFmt w:val="bullet"/>
      <w:lvlText w:val=""/>
      <w:lvlJc w:val="left"/>
      <w:pPr>
        <w:tabs>
          <w:tab w:val="num" w:pos="0"/>
        </w:tabs>
        <w:ind w:left="1779" w:hanging="500"/>
      </w:pPr>
      <w:rPr>
        <w:rFonts w:ascii="Symbol" w:hAnsi="Symbol" w:cs="Symbol" w:hint="default"/>
      </w:rPr>
    </w:lvl>
    <w:lvl w:ilvl="3">
      <w:start w:val="1"/>
      <w:numFmt w:val="bullet"/>
      <w:lvlText w:val=""/>
      <w:lvlJc w:val="left"/>
      <w:pPr>
        <w:tabs>
          <w:tab w:val="num" w:pos="0"/>
        </w:tabs>
        <w:ind w:left="2719" w:hanging="500"/>
      </w:pPr>
      <w:rPr>
        <w:rFonts w:ascii="Symbol" w:hAnsi="Symbol" w:cs="Symbol" w:hint="default"/>
      </w:rPr>
    </w:lvl>
    <w:lvl w:ilvl="4">
      <w:start w:val="1"/>
      <w:numFmt w:val="bullet"/>
      <w:lvlText w:val=""/>
      <w:lvlJc w:val="left"/>
      <w:pPr>
        <w:tabs>
          <w:tab w:val="num" w:pos="0"/>
        </w:tabs>
        <w:ind w:left="3659" w:hanging="500"/>
      </w:pPr>
      <w:rPr>
        <w:rFonts w:ascii="Symbol" w:hAnsi="Symbol" w:cs="Symbol" w:hint="default"/>
      </w:rPr>
    </w:lvl>
    <w:lvl w:ilvl="5">
      <w:start w:val="1"/>
      <w:numFmt w:val="bullet"/>
      <w:lvlText w:val=""/>
      <w:lvlJc w:val="left"/>
      <w:pPr>
        <w:tabs>
          <w:tab w:val="num" w:pos="0"/>
        </w:tabs>
        <w:ind w:left="4599" w:hanging="500"/>
      </w:pPr>
      <w:rPr>
        <w:rFonts w:ascii="Symbol" w:hAnsi="Symbol" w:cs="Symbol" w:hint="default"/>
      </w:rPr>
    </w:lvl>
    <w:lvl w:ilvl="6">
      <w:start w:val="1"/>
      <w:numFmt w:val="bullet"/>
      <w:lvlText w:val=""/>
      <w:lvlJc w:val="left"/>
      <w:pPr>
        <w:tabs>
          <w:tab w:val="num" w:pos="0"/>
        </w:tabs>
        <w:ind w:left="5539" w:hanging="500"/>
      </w:pPr>
      <w:rPr>
        <w:rFonts w:ascii="Symbol" w:hAnsi="Symbol" w:cs="Symbol" w:hint="default"/>
      </w:rPr>
    </w:lvl>
    <w:lvl w:ilvl="7">
      <w:start w:val="1"/>
      <w:numFmt w:val="bullet"/>
      <w:lvlText w:val=""/>
      <w:lvlJc w:val="left"/>
      <w:pPr>
        <w:tabs>
          <w:tab w:val="num" w:pos="0"/>
        </w:tabs>
        <w:ind w:left="6479" w:hanging="500"/>
      </w:pPr>
      <w:rPr>
        <w:rFonts w:ascii="Symbol" w:hAnsi="Symbol" w:cs="Symbol" w:hint="default"/>
      </w:rPr>
    </w:lvl>
    <w:lvl w:ilvl="8">
      <w:start w:val="1"/>
      <w:numFmt w:val="bullet"/>
      <w:lvlText w:val=""/>
      <w:lvlJc w:val="left"/>
      <w:pPr>
        <w:tabs>
          <w:tab w:val="num" w:pos="0"/>
        </w:tabs>
        <w:ind w:left="7419" w:hanging="500"/>
      </w:pPr>
      <w:rPr>
        <w:rFonts w:ascii="Symbol" w:hAnsi="Symbol" w:cs="Symbol" w:hint="default"/>
      </w:rPr>
    </w:lvl>
  </w:abstractNum>
  <w:abstractNum w:abstractNumId="39">
    <w:lvl w:ilvl="0">
      <w:start w:val="1"/>
      <w:numFmt w:val="lowerLetter"/>
      <w:lvlText w:val="%1)"/>
      <w:lvlJc w:val="left"/>
      <w:pPr>
        <w:tabs>
          <w:tab w:val="num" w:pos="0"/>
        </w:tabs>
        <w:ind w:left="1182" w:hanging="332"/>
      </w:pPr>
      <w:rPr>
        <w:sz w:val="22"/>
        <w:spacing w:val="0"/>
        <w:b w:val="false"/>
        <w:szCs w:val="22"/>
        <w:bCs w:val="false"/>
        <w:w w:val="100"/>
        <w:rFonts w:cs="Times New Roman"/>
      </w:rPr>
    </w:lvl>
    <w:lvl w:ilvl="1">
      <w:start w:val="1"/>
      <w:numFmt w:val="bullet"/>
      <w:lvlText w:val=""/>
      <w:lvlJc w:val="left"/>
      <w:pPr>
        <w:tabs>
          <w:tab w:val="num" w:pos="0"/>
        </w:tabs>
        <w:ind w:left="1037" w:hanging="332"/>
      </w:pPr>
      <w:rPr>
        <w:rFonts w:ascii="Symbol" w:hAnsi="Symbol" w:cs="Symbol" w:hint="default"/>
      </w:rPr>
    </w:lvl>
    <w:lvl w:ilvl="2">
      <w:start w:val="1"/>
      <w:numFmt w:val="bullet"/>
      <w:lvlText w:val=""/>
      <w:lvlJc w:val="left"/>
      <w:pPr>
        <w:tabs>
          <w:tab w:val="num" w:pos="0"/>
        </w:tabs>
        <w:ind w:left="1955" w:hanging="332"/>
      </w:pPr>
      <w:rPr>
        <w:rFonts w:ascii="Symbol" w:hAnsi="Symbol" w:cs="Symbol" w:hint="default"/>
      </w:rPr>
    </w:lvl>
    <w:lvl w:ilvl="3">
      <w:start w:val="1"/>
      <w:numFmt w:val="bullet"/>
      <w:lvlText w:val=""/>
      <w:lvlJc w:val="left"/>
      <w:pPr>
        <w:tabs>
          <w:tab w:val="num" w:pos="0"/>
        </w:tabs>
        <w:ind w:left="2873" w:hanging="332"/>
      </w:pPr>
      <w:rPr>
        <w:rFonts w:ascii="Symbol" w:hAnsi="Symbol" w:cs="Symbol" w:hint="default"/>
      </w:rPr>
    </w:lvl>
    <w:lvl w:ilvl="4">
      <w:start w:val="1"/>
      <w:numFmt w:val="bullet"/>
      <w:lvlText w:val=""/>
      <w:lvlJc w:val="left"/>
      <w:pPr>
        <w:tabs>
          <w:tab w:val="num" w:pos="0"/>
        </w:tabs>
        <w:ind w:left="3791" w:hanging="332"/>
      </w:pPr>
      <w:rPr>
        <w:rFonts w:ascii="Symbol" w:hAnsi="Symbol" w:cs="Symbol" w:hint="default"/>
      </w:rPr>
    </w:lvl>
    <w:lvl w:ilvl="5">
      <w:start w:val="1"/>
      <w:numFmt w:val="bullet"/>
      <w:lvlText w:val=""/>
      <w:lvlJc w:val="left"/>
      <w:pPr>
        <w:tabs>
          <w:tab w:val="num" w:pos="0"/>
        </w:tabs>
        <w:ind w:left="4709" w:hanging="332"/>
      </w:pPr>
      <w:rPr>
        <w:rFonts w:ascii="Symbol" w:hAnsi="Symbol" w:cs="Symbol" w:hint="default"/>
      </w:rPr>
    </w:lvl>
    <w:lvl w:ilvl="6">
      <w:start w:val="1"/>
      <w:numFmt w:val="bullet"/>
      <w:lvlText w:val=""/>
      <w:lvlJc w:val="left"/>
      <w:pPr>
        <w:tabs>
          <w:tab w:val="num" w:pos="0"/>
        </w:tabs>
        <w:ind w:left="5627" w:hanging="332"/>
      </w:pPr>
      <w:rPr>
        <w:rFonts w:ascii="Symbol" w:hAnsi="Symbol" w:cs="Symbol" w:hint="default"/>
      </w:rPr>
    </w:lvl>
    <w:lvl w:ilvl="7">
      <w:start w:val="1"/>
      <w:numFmt w:val="bullet"/>
      <w:lvlText w:val=""/>
      <w:lvlJc w:val="left"/>
      <w:pPr>
        <w:tabs>
          <w:tab w:val="num" w:pos="0"/>
        </w:tabs>
        <w:ind w:left="6545" w:hanging="332"/>
      </w:pPr>
      <w:rPr>
        <w:rFonts w:ascii="Symbol" w:hAnsi="Symbol" w:cs="Symbol" w:hint="default"/>
      </w:rPr>
    </w:lvl>
    <w:lvl w:ilvl="8">
      <w:start w:val="1"/>
      <w:numFmt w:val="bullet"/>
      <w:lvlText w:val=""/>
      <w:lvlJc w:val="left"/>
      <w:pPr>
        <w:tabs>
          <w:tab w:val="num" w:pos="0"/>
        </w:tabs>
        <w:ind w:left="7463" w:hanging="332"/>
      </w:pPr>
      <w:rPr>
        <w:rFonts w:ascii="Symbol" w:hAnsi="Symbol" w:cs="Symbol" w:hint="default"/>
      </w:rPr>
    </w:lvl>
  </w:abstractNum>
  <w:abstractNum w:abstractNumId="4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decimal"/>
      <w:lvlText w:val="%1."/>
      <w:lvlJc w:val="left"/>
      <w:pPr>
        <w:tabs>
          <w:tab w:val="num" w:pos="720"/>
        </w:tabs>
        <w:ind w:left="720" w:hanging="720"/>
      </w:pPr>
      <w:rPr>
        <w:sz w:val="24"/>
        <w:b w:val="false"/>
        <w:rFonts w:ascii="Times New Roman" w:hAnsi="Times New Roman"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lvl w:ilvl="0">
      <w:start w:val="1"/>
      <w:numFmt w:val="decimal"/>
      <w:lvlText w:val="%1."/>
      <w:lvlJc w:val="left"/>
      <w:pPr>
        <w:tabs>
          <w:tab w:val="num" w:pos="0"/>
        </w:tabs>
        <w:ind w:left="360" w:hanging="360"/>
      </w:pPr>
      <w:rPr>
        <w:dstrike w:val="false"/>
        <w:strike w:val="false"/>
        <w:sz w:val="22"/>
        <w:b/>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9">
    <w:lvl w:ilvl="0">
      <w:start w:val="1"/>
      <w:numFmt w:val="decimal"/>
      <w:lvlText w:val="%1."/>
      <w:lvlJc w:val="left"/>
      <w:pPr>
        <w:tabs>
          <w:tab w:val="num" w:pos="0"/>
        </w:tabs>
        <w:ind w:left="360" w:hanging="360"/>
      </w:pPr>
      <w:rPr>
        <w:b/>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Letter"/>
      <w:lvlText w:val="%6)"/>
      <w:lvlJc w:val="left"/>
      <w:pPr>
        <w:tabs>
          <w:tab w:val="num" w:pos="0"/>
        </w:tabs>
        <w:ind w:left="464" w:hanging="180"/>
      </w:p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0">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lvl w:ilvl="0">
      <w:start w:val="2"/>
      <w:numFmt w:val="decimal"/>
      <w:lvlText w:val="%1."/>
      <w:lvlJc w:val="left"/>
      <w:pPr>
        <w:tabs>
          <w:tab w:val="num" w:pos="34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6">
    <w:lvl w:ilvl="0">
      <w:start w:val="1"/>
      <w:numFmt w:val="decimal"/>
      <w:lvlText w:val="%1."/>
      <w:lvlJc w:val="left"/>
      <w:pPr>
        <w:tabs>
          <w:tab w:val="num" w:pos="0"/>
        </w:tabs>
        <w:ind w:left="360" w:hanging="360"/>
      </w:pPr>
      <w:rPr>
        <w:sz w:val="24"/>
        <w:b w:val="false"/>
        <w:szCs w:val="22"/>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lvl w:ilvl="0">
      <w:start w:val="1"/>
      <w:numFmt w:val="decimal"/>
      <w:lvlText w:val="%1."/>
      <w:lvlJc w:val="left"/>
      <w:pPr>
        <w:tabs>
          <w:tab w:val="num" w:pos="0"/>
        </w:tabs>
        <w:ind w:left="360" w:hanging="360"/>
      </w:pPr>
      <w:rPr>
        <w:sz w:val="24"/>
        <w:b w:val="false"/>
        <w:szCs w:val="22"/>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lvl w:ilvl="0">
      <w:start w:val="1"/>
      <w:numFmt w:val="decimal"/>
      <w:lvlText w:val="%1."/>
      <w:lvlJc w:val="left"/>
      <w:pPr>
        <w:tabs>
          <w:tab w:val="num" w:pos="0"/>
        </w:tabs>
        <w:ind w:left="360" w:hanging="360"/>
      </w:pPr>
      <w:rPr>
        <w:sz w:val="24"/>
        <w:b w:val="false"/>
        <w:szCs w:val="24"/>
        <w:rFonts w:ascii="Times New Roman" w:hAnsi="Times New Roman"/>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9">
    <w:lvl w:ilvl="0">
      <w:start w:val="1"/>
      <w:numFmt w:val="decimal"/>
      <w:lvlText w:val="%1."/>
      <w:lvlJc w:val="left"/>
      <w:pPr>
        <w:tabs>
          <w:tab w:val="num" w:pos="0"/>
        </w:tabs>
        <w:ind w:left="360" w:hanging="360"/>
      </w:pPr>
      <w:rPr>
        <w:sz w:val="24"/>
        <w:i w:val="false"/>
        <w:b/>
        <w:bCs/>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lvl w:ilvl="0">
      <w:start w:val="1"/>
      <w:numFmt w:val="decimal"/>
      <w:lvlText w:val="%1)"/>
      <w:lvlJc w:val="left"/>
      <w:pPr>
        <w:tabs>
          <w:tab w:val="num" w:pos="720"/>
        </w:tabs>
        <w:ind w:left="720" w:hanging="360"/>
      </w:pPr>
      <w:rPr>
        <w:sz w:val="24"/>
        <w:b w:val="false"/>
        <w:szCs w:val="22"/>
        <w:rFonts w:ascii="Times New Roman" w:hAnsi="Times New Roman"/>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lvl w:ilvl="0">
      <w:start w:val="1"/>
      <w:numFmt w:val="decimal"/>
      <w:lvlText w:val="%1."/>
      <w:lvlJc w:val="left"/>
      <w:pPr>
        <w:tabs>
          <w:tab w:val="num" w:pos="0"/>
        </w:tabs>
        <w:ind w:left="720" w:hanging="360"/>
      </w:pPr>
      <w:rPr>
        <w:sz w:val="24"/>
        <w:b w:val="false"/>
        <w:rFonts w:ascii="Times New Roman" w:hAnsi="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lvl w:ilvl="0">
      <w:start w:val="1"/>
      <w:numFmt w:val="decimal"/>
      <w:lvlText w:val="%1)"/>
      <w:lvlJc w:val="left"/>
      <w:pPr>
        <w:tabs>
          <w:tab w:val="num" w:pos="0"/>
        </w:tabs>
        <w:ind w:left="619" w:hanging="0"/>
      </w:pPr>
      <w:rPr>
        <w:dstrike w:val="false"/>
        <w:strike w:val="false"/>
        <w:vertAlign w:val="baseline"/>
        <w:position w:val="0"/>
        <w:sz w:val="24"/>
        <w:sz w:val="24"/>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eastAsia="Calibri" w:cs="Calibri"/>
        <w:color w:val="000000"/>
      </w:rPr>
    </w:lvl>
  </w:abstractNum>
  <w:abstractNum w:abstractNumId="66">
    <w:lvl w:ilvl="0">
      <w:start w:val="2"/>
      <w:numFmt w:val="decimal"/>
      <w:lvlText w:val="%1)"/>
      <w:lvlJc w:val="left"/>
      <w:pPr>
        <w:tabs>
          <w:tab w:val="num" w:pos="0"/>
        </w:tabs>
        <w:ind w:left="619" w:hanging="0"/>
      </w:pPr>
      <w:rPr>
        <w:dstrike w:val="false"/>
        <w:strike w:val="false"/>
        <w:vertAlign w:val="baseline"/>
        <w:position w:val="0"/>
        <w:sz w:val="24"/>
        <w:sz w:val="24"/>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eastAsia="Calibri" w:cs="Calibri"/>
        <w:color w:val="000000"/>
      </w:rPr>
    </w:lvl>
  </w:abstractNum>
  <w:abstractNum w:abstractNumId="6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6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3">
    <w:lvl w:ilvl="0">
      <w:start w:val="1"/>
      <w:numFmt w:val="decimal"/>
      <w:lvlText w:val="%1."/>
      <w:lvlJc w:val="left"/>
      <w:pPr>
        <w:tabs>
          <w:tab w:val="num" w:pos="0"/>
        </w:tabs>
        <w:ind w:left="360" w:hanging="360"/>
      </w:pPr>
      <w:rPr>
        <w:sz w:val="24"/>
        <w:i w:val="false"/>
        <w:b/>
        <w:iCs/>
        <w:bCs/>
        <w:rFonts w:ascii="Times New Roman" w:hAnsi="Times New Roman"/>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lvl w:ilvl="0">
      <w:start w:val="1"/>
      <w:numFmt w:val="decimal"/>
      <w:lvlText w:val="%1."/>
      <w:lvlJc w:val="left"/>
      <w:pPr>
        <w:tabs>
          <w:tab w:val="num" w:pos="0"/>
        </w:tabs>
        <w:ind w:left="218" w:hanging="360"/>
      </w:pPr>
      <w:rPr>
        <w:sz w:val="24"/>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77">
    <w:lvl w:ilvl="0">
      <w:start w:val="1"/>
      <w:numFmt w:val="decimal"/>
      <w:lvlText w:val="%1)"/>
      <w:lvlJc w:val="left"/>
      <w:pPr>
        <w:tabs>
          <w:tab w:val="num" w:pos="0"/>
        </w:tabs>
        <w:ind w:left="360" w:hanging="360"/>
      </w:pPr>
      <w:rPr>
        <w:sz w:val="24"/>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8">
    <w:lvl w:ilvl="0">
      <w:start w:val="1"/>
      <w:numFmt w:val="lowerLetter"/>
      <w:lvlText w:val="%1)"/>
      <w:lvlJc w:val="left"/>
      <w:pPr>
        <w:tabs>
          <w:tab w:val="num" w:pos="0"/>
        </w:tabs>
        <w:ind w:left="360" w:hanging="360"/>
      </w:pPr>
      <w:rPr>
        <w:sz w:val="24"/>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9">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80">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lvl w:ilvl="0">
      <w:start w:val="1"/>
      <w:numFmt w:val="lowerLetter"/>
      <w:lvlText w:val="%1)"/>
      <w:lvlJc w:val="left"/>
      <w:pPr>
        <w:tabs>
          <w:tab w:val="num" w:pos="0"/>
        </w:tabs>
        <w:ind w:left="360" w:hanging="360"/>
      </w:pPr>
      <w:rPr>
        <w:sz w:val="24"/>
        <w:b w:val="false"/>
        <w:bCs/>
        <w:rFonts w:ascii="Times New Roman" w:hAnsi="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3">
    <w:lvl w:ilvl="0">
      <w:start w:val="1"/>
      <w:numFmt w:val="decimal"/>
      <w:lvlText w:val="%1."/>
      <w:lvlJc w:val="left"/>
      <w:pPr>
        <w:tabs>
          <w:tab w:val="num" w:pos="0"/>
        </w:tabs>
        <w:ind w:left="360" w:hanging="360"/>
      </w:pPr>
      <w:rPr>
        <w:sz w:val="24"/>
        <w:b/>
        <w:bCs/>
        <w:rFonts w:ascii="Times New Roman" w:hAnsi="Times New Roman"/>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lvl w:ilvl="0">
      <w:start w:val="1"/>
      <w:numFmt w:val="decimal"/>
      <w:lvlText w:val="%1."/>
      <w:lvlJc w:val="left"/>
      <w:pPr>
        <w:tabs>
          <w:tab w:val="num" w:pos="0"/>
        </w:tabs>
        <w:ind w:left="360" w:hanging="360"/>
      </w:pPr>
      <w:rPr>
        <w:sz w:val="24"/>
        <w:b/>
        <w:szCs w:val="22"/>
        <w:rFonts w:ascii="Times New Roman" w:hAnsi="Times New Roman"/>
      </w:rPr>
    </w:lvl>
    <w:lvl w:ilvl="1">
      <w:start w:val="1"/>
      <w:numFmt w:val="decimal"/>
      <w:lvlText w:val="%2)"/>
      <w:lvlJc w:val="left"/>
      <w:pPr>
        <w:tabs>
          <w:tab w:val="num" w:pos="0"/>
        </w:tabs>
        <w:ind w:left="432" w:hanging="432"/>
      </w:pPr>
      <w:rPr>
        <w:sz w:val="22"/>
        <w:b w:val="false"/>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lvl w:ilvl="0">
      <w:start w:val="1"/>
      <w:numFmt w:val="lowerLetter"/>
      <w:lvlText w:val="%1)"/>
      <w:lvlJc w:val="left"/>
      <w:pPr>
        <w:tabs>
          <w:tab w:val="num" w:pos="0"/>
        </w:tabs>
        <w:ind w:left="777" w:hanging="360"/>
      </w:pPr>
      <w:rPr>
        <w:sz w:val="24"/>
        <w:i w:val="false"/>
        <w:b w:val="false"/>
        <w:szCs w:val="22"/>
        <w:rFonts w:ascii="Times New Roman" w:hAnsi="Times New Roman" w:eastAsia="Times New Roman"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86">
    <w:lvl w:ilvl="0">
      <w:start w:val="1"/>
      <w:numFmt w:val="lowerLetter"/>
      <w:lvlText w:val="%1)"/>
      <w:lvlJc w:val="left"/>
      <w:pPr>
        <w:tabs>
          <w:tab w:val="num" w:pos="0"/>
        </w:tabs>
        <w:ind w:left="720" w:hanging="360"/>
      </w:pPr>
      <w:rPr>
        <w:rFonts w:ascii="Times New Roman" w:hAnsi="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4"/>
        <w:b w:val="false"/>
        <w:rFonts w:ascii="Times New Roman" w:hAnsi="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8">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89">
    <w:lvl w:ilvl="0">
      <w:start w:val="1"/>
      <w:numFmt w:val="decimal"/>
      <w:lvlText w:val="%1)"/>
      <w:lvlJc w:val="left"/>
      <w:pPr>
        <w:tabs>
          <w:tab w:val="num" w:pos="0"/>
        </w:tabs>
        <w:ind w:left="720" w:hanging="360"/>
      </w:pPr>
      <w:rPr>
        <w:sz w:val="24"/>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lvl w:ilvl="0">
      <w:start w:val="1"/>
      <w:numFmt w:val="decimal"/>
      <w:lvlText w:val="%1)"/>
      <w:lvlJc w:val="left"/>
      <w:pPr>
        <w:tabs>
          <w:tab w:val="num" w:pos="0"/>
        </w:tabs>
        <w:ind w:left="360" w:hanging="360"/>
      </w:pPr>
      <w:rPr>
        <w:sz w:val="24"/>
        <w:b w:val="false"/>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2">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4"/>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3">
    <w:lvl w:ilvl="0">
      <w:start w:val="1"/>
      <w:numFmt w:val="bullet"/>
      <w:lvlText w:val=""/>
      <w:lvlJc w:val="left"/>
      <w:pPr>
        <w:tabs>
          <w:tab w:val="num" w:pos="1211"/>
        </w:tabs>
        <w:ind w:left="1211" w:hanging="360"/>
      </w:pPr>
      <w:rPr>
        <w:rFonts w:ascii="Symbol" w:hAnsi="Symbol" w:cs="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b w:val="false"/>
      </w:rPr>
    </w:lvl>
    <w:lvl w:ilvl="3">
      <w:start w:val="1"/>
      <w:numFmt w:val="decimal"/>
      <w:lvlText w:val="%4."/>
      <w:lvlJc w:val="left"/>
      <w:pPr>
        <w:tabs>
          <w:tab w:val="num" w:pos="360"/>
        </w:tabs>
        <w:ind w:left="360" w:hanging="360"/>
      </w:pPr>
      <w:rPr>
        <w:rFonts w:eastAsia="Times New Roman" w:cs="Times New Roman"/>
      </w:rPr>
    </w:lvl>
    <w:lvl w:ilvl="4">
      <w:start w:val="1"/>
      <w:numFmt w:val="decimal"/>
      <w:lvlText w:val="%5."/>
      <w:lvlJc w:val="left"/>
      <w:pPr>
        <w:tabs>
          <w:tab w:val="num" w:pos="644"/>
        </w:tabs>
        <w:ind w:left="644" w:hanging="360"/>
      </w:pPr>
      <w:rPr>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5">
    <w:lvl w:ilvl="0">
      <w:start w:val="1"/>
      <w:numFmt w:val="decimal"/>
      <w:lvlText w:val="%1."/>
      <w:lvlJc w:val="left"/>
      <w:pPr>
        <w:tabs>
          <w:tab w:val="num" w:pos="360"/>
        </w:tabs>
        <w:ind w:left="360" w:hanging="360"/>
      </w:pPr>
      <w:rPr>
        <w:dstrike w:val="false"/>
        <w:strike w:val="false"/>
        <w:b w:val="false"/>
        <w:rFonts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lvl w:ilvl="0">
      <w:start w:val="2"/>
      <w:numFmt w:val="decimal"/>
      <w:lvlText w:val="%1."/>
      <w:lvlJc w:val="left"/>
      <w:pPr>
        <w:tabs>
          <w:tab w:val="num" w:pos="1440"/>
        </w:tabs>
        <w:ind w:left="1440" w:hanging="360"/>
      </w:pPr>
      <w:rPr>
        <w:rFonts w:ascii="Times New Roman" w:hAnsi="Times New Roman" w:cs="Times New Roman"/>
      </w:rPr>
    </w:lvl>
    <w:lvl w:ilvl="1">
      <w:start w:val="1"/>
      <w:numFmt w:val="decimal"/>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2880"/>
        </w:tabs>
        <w:ind w:left="2880" w:hanging="360"/>
      </w:pPr>
      <w:rPr>
        <w:rFonts w:ascii="Times New Roman" w:hAnsi="Times New Roman" w:cs="Times New Roman"/>
      </w:rPr>
    </w:lvl>
    <w:lvl w:ilvl="5">
      <w:start w:val="1"/>
      <w:numFmt w:val="decimal"/>
      <w:lvlText w:val="%6."/>
      <w:lvlJc w:val="left"/>
      <w:pPr>
        <w:tabs>
          <w:tab w:val="num" w:pos="3240"/>
        </w:tabs>
        <w:ind w:left="3240" w:hanging="360"/>
      </w:pPr>
      <w:rPr>
        <w:rFonts w:ascii="Times New Roman" w:hAnsi="Times New Roman" w:cs="Times New Roman"/>
      </w:rPr>
    </w:lvl>
    <w:lvl w:ilvl="6">
      <w:start w:val="1"/>
      <w:numFmt w:val="decimal"/>
      <w:lvlText w:val="%7."/>
      <w:lvlJc w:val="left"/>
      <w:pPr>
        <w:tabs>
          <w:tab w:val="num" w:pos="3600"/>
        </w:tabs>
        <w:ind w:left="3600" w:hanging="360"/>
      </w:pPr>
      <w:rPr>
        <w:rFonts w:ascii="Times New Roman" w:hAnsi="Times New Roman" w:cs="Times New Roman"/>
      </w:rPr>
    </w:lvl>
    <w:lvl w:ilvl="7">
      <w:start w:val="1"/>
      <w:numFmt w:val="decimal"/>
      <w:lvlText w:val="%8."/>
      <w:lvlJc w:val="left"/>
      <w:pPr>
        <w:tabs>
          <w:tab w:val="num" w:pos="3960"/>
        </w:tabs>
        <w:ind w:left="3960" w:hanging="360"/>
      </w:pPr>
      <w:rPr>
        <w:rFonts w:ascii="Times New Roman" w:hAnsi="Times New Roman" w:cs="Times New Roman"/>
      </w:rPr>
    </w:lvl>
    <w:lvl w:ilvl="8">
      <w:start w:val="1"/>
      <w:numFmt w:val="decimal"/>
      <w:lvlText w:val="%9."/>
      <w:lvlJc w:val="left"/>
      <w:pPr>
        <w:tabs>
          <w:tab w:val="num" w:pos="4320"/>
        </w:tabs>
        <w:ind w:left="4320" w:hanging="360"/>
      </w:pPr>
      <w:rPr>
        <w:rFonts w:ascii="Times New Roman" w:hAnsi="Times New Roman" w:cs="Times New Roman"/>
      </w:rPr>
    </w:lvl>
  </w:abstractNum>
  <w:abstractNum w:abstractNumId="98">
    <w:lvl w:ilvl="0">
      <w:start w:val="2"/>
      <w:numFmt w:val="decimal"/>
      <w:lvlText w:val="%1."/>
      <w:lvlJc w:val="left"/>
      <w:pPr>
        <w:tabs>
          <w:tab w:val="num" w:pos="785"/>
        </w:tabs>
        <w:ind w:left="785" w:hanging="360"/>
      </w:pPr>
      <w:rPr>
        <w:rFonts w:ascii="Times New Roman" w:hAnsi="Times New Roman" w:cs="Times New Roman"/>
      </w:rPr>
    </w:lvl>
    <w:lvl w:ilvl="1">
      <w:start w:val="1"/>
      <w:numFmt w:val="decimal"/>
      <w:lvlText w:val="%2."/>
      <w:lvlJc w:val="left"/>
      <w:pPr>
        <w:tabs>
          <w:tab w:val="num" w:pos="1145"/>
        </w:tabs>
        <w:ind w:left="1145" w:hanging="360"/>
      </w:pPr>
      <w:rPr>
        <w:rFonts w:ascii="Times New Roman" w:hAnsi="Times New Roman" w:cs="Times New Roman"/>
      </w:rPr>
    </w:lvl>
    <w:lvl w:ilvl="2">
      <w:start w:val="1"/>
      <w:numFmt w:val="decimal"/>
      <w:lvlText w:val="%3."/>
      <w:lvlJc w:val="left"/>
      <w:pPr>
        <w:tabs>
          <w:tab w:val="num" w:pos="1505"/>
        </w:tabs>
        <w:ind w:left="1505" w:hanging="360"/>
      </w:pPr>
      <w:rPr>
        <w:rFonts w:ascii="Times New Roman" w:hAnsi="Times New Roman" w:cs="Times New Roman"/>
      </w:rPr>
    </w:lvl>
    <w:lvl w:ilvl="3">
      <w:start w:val="1"/>
      <w:numFmt w:val="decimal"/>
      <w:lvlText w:val="%4."/>
      <w:lvlJc w:val="left"/>
      <w:pPr>
        <w:tabs>
          <w:tab w:val="num" w:pos="1865"/>
        </w:tabs>
        <w:ind w:left="1865" w:hanging="360"/>
      </w:pPr>
      <w:rPr>
        <w:rFonts w:ascii="Times New Roman" w:hAnsi="Times New Roman" w:cs="Times New Roman"/>
      </w:rPr>
    </w:lvl>
    <w:lvl w:ilvl="4">
      <w:start w:val="1"/>
      <w:numFmt w:val="decimal"/>
      <w:lvlText w:val="%5."/>
      <w:lvlJc w:val="left"/>
      <w:pPr>
        <w:tabs>
          <w:tab w:val="num" w:pos="2225"/>
        </w:tabs>
        <w:ind w:left="2225" w:hanging="360"/>
      </w:pPr>
      <w:rPr>
        <w:rFonts w:ascii="Times New Roman" w:hAnsi="Times New Roman" w:cs="Times New Roman"/>
      </w:rPr>
    </w:lvl>
    <w:lvl w:ilvl="5">
      <w:start w:val="1"/>
      <w:numFmt w:val="decimal"/>
      <w:lvlText w:val="%6."/>
      <w:lvlJc w:val="left"/>
      <w:pPr>
        <w:tabs>
          <w:tab w:val="num" w:pos="2585"/>
        </w:tabs>
        <w:ind w:left="2585" w:hanging="360"/>
      </w:pPr>
      <w:rPr>
        <w:rFonts w:ascii="Times New Roman" w:hAnsi="Times New Roman" w:cs="Times New Roman"/>
      </w:rPr>
    </w:lvl>
    <w:lvl w:ilvl="6">
      <w:start w:val="1"/>
      <w:numFmt w:val="decimal"/>
      <w:lvlText w:val="%7."/>
      <w:lvlJc w:val="left"/>
      <w:pPr>
        <w:tabs>
          <w:tab w:val="num" w:pos="2945"/>
        </w:tabs>
        <w:ind w:left="2945" w:hanging="360"/>
      </w:pPr>
      <w:rPr>
        <w:rFonts w:ascii="Times New Roman" w:hAnsi="Times New Roman" w:cs="Times New Roman"/>
      </w:rPr>
    </w:lvl>
    <w:lvl w:ilvl="7">
      <w:start w:val="1"/>
      <w:numFmt w:val="decimal"/>
      <w:lvlText w:val="%8."/>
      <w:lvlJc w:val="left"/>
      <w:pPr>
        <w:tabs>
          <w:tab w:val="num" w:pos="3305"/>
        </w:tabs>
        <w:ind w:left="3305" w:hanging="360"/>
      </w:pPr>
      <w:rPr>
        <w:rFonts w:ascii="Times New Roman" w:hAnsi="Times New Roman" w:cs="Times New Roman"/>
      </w:rPr>
    </w:lvl>
    <w:lvl w:ilvl="8">
      <w:start w:val="1"/>
      <w:numFmt w:val="decimal"/>
      <w:lvlText w:val="%9."/>
      <w:lvlJc w:val="left"/>
      <w:pPr>
        <w:tabs>
          <w:tab w:val="num" w:pos="3665"/>
        </w:tabs>
        <w:ind w:left="3665" w:hanging="360"/>
      </w:pPr>
      <w:rPr>
        <w:rFonts w:ascii="Times New Roman" w:hAnsi="Times New Roman" w:cs="Times New Roman"/>
      </w:rPr>
    </w:lvl>
  </w:abstractNum>
  <w:abstractNum w:abstractNumId="99">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0">
    <w:lvl w:ilvl="0">
      <w:start w:val="7"/>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semiHidden="1" w:unhideWhenUsed="1" w:qFormat="1"/>
    <w:lsdException w:name="footer" w:uiPriority="0"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qFormat="1"/>
    <w:lsdException w:name="List Bullet 5" w:uiPriority="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qFormat="1"/>
    <w:lsdException w:name="Note Heading" w:semiHidden="1" w:unhideWhenUsed="1"/>
    <w:lsdException w:name="Body Text 2" w:semiHidden="1" w:unhideWhenUsed="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9a6d41"/>
    <w:pPr>
      <w:keepNext w:val="true"/>
      <w:keepLines/>
      <w:spacing w:lineRule="auto" w:line="240" w:before="480" w:after="0"/>
      <w:outlineLvl w:val="0"/>
    </w:pPr>
    <w:rPr>
      <w:rFonts w:ascii="Calibri Light" w:hAnsi="Calibri Light" w:eastAsia="Calibri Light" w:cs="Calibri Light"/>
      <w:b/>
      <w:bCs/>
      <w:color w:val="2F5496" w:themeColor="accent1" w:themeShade="bf"/>
      <w:sz w:val="28"/>
      <w:szCs w:val="28"/>
      <w:lang w:eastAsia="pl-PL"/>
    </w:rPr>
  </w:style>
  <w:style w:type="paragraph" w:styleId="Nagwek2">
    <w:name w:val="Heading 2"/>
    <w:basedOn w:val="Normal"/>
    <w:next w:val="Normal"/>
    <w:link w:val="Nagwek2Znak"/>
    <w:semiHidden/>
    <w:unhideWhenUsed/>
    <w:qFormat/>
    <w:rsid w:val="009a6d41"/>
    <w:pPr>
      <w:keepNext w:val="true"/>
      <w:keepLines/>
      <w:spacing w:lineRule="auto" w:line="240" w:before="200" w:after="0"/>
      <w:outlineLvl w:val="1"/>
    </w:pPr>
    <w:rPr>
      <w:rFonts w:ascii="Calibri Light" w:hAnsi="Calibri Light" w:eastAsia="Calibri Light" w:cs="Calibri Light"/>
      <w:b/>
      <w:bCs/>
      <w:color w:val="4472C4" w:themeColor="accent1"/>
      <w:sz w:val="26"/>
      <w:szCs w:val="26"/>
      <w:lang w:eastAsia="pl-PL"/>
    </w:rPr>
  </w:style>
  <w:style w:type="paragraph" w:styleId="Nagwek3">
    <w:name w:val="Heading 3"/>
    <w:basedOn w:val="Normal"/>
    <w:next w:val="Normal"/>
    <w:link w:val="Nagwek3Znak"/>
    <w:semiHidden/>
    <w:unhideWhenUsed/>
    <w:qFormat/>
    <w:rsid w:val="009a6d41"/>
    <w:pPr>
      <w:keepNext w:val="true"/>
      <w:keepLines/>
      <w:spacing w:lineRule="auto" w:line="240" w:before="200" w:after="0"/>
      <w:outlineLvl w:val="2"/>
    </w:pPr>
    <w:rPr>
      <w:rFonts w:ascii="Calibri Light" w:hAnsi="Calibri Light" w:eastAsia="Calibri Light" w:cs="Calibri Light"/>
      <w:b/>
      <w:bCs/>
      <w:color w:val="4472C4" w:themeColor="accent1"/>
      <w:sz w:val="24"/>
      <w:szCs w:val="24"/>
      <w:lang w:eastAsia="pl-PL"/>
    </w:rPr>
  </w:style>
  <w:style w:type="paragraph" w:styleId="Nagwek5">
    <w:name w:val="Heading 5"/>
    <w:basedOn w:val="Normal"/>
    <w:next w:val="Normal"/>
    <w:link w:val="Nagwek5Znak"/>
    <w:semiHidden/>
    <w:unhideWhenUsed/>
    <w:qFormat/>
    <w:rsid w:val="009a6d41"/>
    <w:pPr>
      <w:keepNext w:val="true"/>
      <w:spacing w:lineRule="auto" w:line="360" w:before="0" w:after="0"/>
      <w:ind w:left="-1531" w:hanging="0"/>
      <w:jc w:val="both"/>
      <w:outlineLvl w:val="4"/>
    </w:pPr>
    <w:rPr>
      <w:rFonts w:ascii="Times New Roman" w:hAnsi="Times New Roman" w:eastAsia="Times New Roman" w:cs="Times New Roman"/>
      <w:b/>
      <w:bCs/>
      <w:sz w:val="24"/>
      <w:szCs w:val="24"/>
      <w:lang w:eastAsia="pl-PL"/>
    </w:rPr>
  </w:style>
  <w:style w:type="paragraph" w:styleId="Nagwek6">
    <w:name w:val="Heading 6"/>
    <w:basedOn w:val="Normal"/>
    <w:next w:val="Normal"/>
    <w:link w:val="Nagwek6Znak"/>
    <w:semiHidden/>
    <w:unhideWhenUsed/>
    <w:qFormat/>
    <w:rsid w:val="009a6d41"/>
    <w:pPr>
      <w:keepNext w:val="true"/>
      <w:keepLines/>
      <w:spacing w:lineRule="auto" w:line="240" w:before="200" w:after="0"/>
      <w:outlineLvl w:val="5"/>
    </w:pPr>
    <w:rPr>
      <w:rFonts w:ascii="Calibri Light" w:hAnsi="Calibri Light" w:eastAsia="Calibri Light" w:cs="Calibri Light"/>
      <w:i/>
      <w:iCs/>
      <w:color w:val="1F3763" w:themeColor="accent1" w:themeShade="7f"/>
      <w:sz w:val="24"/>
      <w:szCs w:val="24"/>
      <w:lang w:eastAsia="pl-PL"/>
    </w:rPr>
  </w:style>
  <w:style w:type="paragraph" w:styleId="Nagwek7">
    <w:name w:val="Heading 7"/>
    <w:basedOn w:val="Normal"/>
    <w:next w:val="Normal"/>
    <w:link w:val="Nagwek7Znak"/>
    <w:semiHidden/>
    <w:unhideWhenUsed/>
    <w:qFormat/>
    <w:rsid w:val="009a6d41"/>
    <w:pPr>
      <w:spacing w:lineRule="auto" w:line="240" w:before="240" w:after="60"/>
      <w:outlineLvl w:val="6"/>
    </w:pPr>
    <w:rPr>
      <w:rFonts w:ascii="Times New Roman" w:hAnsi="Times New Roman" w:eastAsia="Times New Roman" w:cs="Times New Roman"/>
      <w:sz w:val="24"/>
      <w:szCs w:val="24"/>
      <w:lang w:eastAsia="pl-PL"/>
    </w:rPr>
  </w:style>
  <w:style w:type="paragraph" w:styleId="Nagwek9">
    <w:name w:val="Heading 9"/>
    <w:basedOn w:val="Normal"/>
    <w:next w:val="Normal"/>
    <w:link w:val="Nagwek9Znak"/>
    <w:semiHidden/>
    <w:unhideWhenUsed/>
    <w:qFormat/>
    <w:rsid w:val="009a6d41"/>
    <w:pPr>
      <w:keepNext w:val="true"/>
      <w:spacing w:lineRule="auto" w:line="240" w:before="0" w:after="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9a6d41"/>
    <w:rPr>
      <w:rFonts w:ascii="Calibri Light" w:hAnsi="Calibri Light" w:eastAsia="Calibri Light" w:cs="Calibri Light"/>
      <w:b/>
      <w:bCs/>
      <w:color w:val="2F5496" w:themeColor="accent1" w:themeShade="bf"/>
      <w:sz w:val="28"/>
      <w:szCs w:val="28"/>
      <w:lang w:eastAsia="pl-PL"/>
    </w:rPr>
  </w:style>
  <w:style w:type="character" w:styleId="Nagwek2Znak" w:customStyle="1">
    <w:name w:val="Nagłówek 2 Znak"/>
    <w:basedOn w:val="DefaultParagraphFont"/>
    <w:link w:val="Nagwek2"/>
    <w:semiHidden/>
    <w:qFormat/>
    <w:rsid w:val="009a6d41"/>
    <w:rPr>
      <w:rFonts w:ascii="Calibri Light" w:hAnsi="Calibri Light" w:eastAsia="Calibri Light" w:cs="Calibri Light"/>
      <w:b/>
      <w:bCs/>
      <w:color w:val="4472C4" w:themeColor="accent1"/>
      <w:sz w:val="26"/>
      <w:szCs w:val="26"/>
      <w:lang w:eastAsia="pl-PL"/>
    </w:rPr>
  </w:style>
  <w:style w:type="character" w:styleId="Nagwek3Znak" w:customStyle="1">
    <w:name w:val="Nagłówek 3 Znak"/>
    <w:basedOn w:val="DefaultParagraphFont"/>
    <w:link w:val="Nagwek3"/>
    <w:semiHidden/>
    <w:qFormat/>
    <w:rsid w:val="009a6d41"/>
    <w:rPr>
      <w:rFonts w:ascii="Calibri Light" w:hAnsi="Calibri Light" w:eastAsia="Calibri Light" w:cs="Calibri Light"/>
      <w:b/>
      <w:bCs/>
      <w:color w:val="4472C4" w:themeColor="accent1"/>
      <w:sz w:val="24"/>
      <w:szCs w:val="24"/>
      <w:lang w:eastAsia="pl-PL"/>
    </w:rPr>
  </w:style>
  <w:style w:type="character" w:styleId="Nagwek5Znak" w:customStyle="1">
    <w:name w:val="Nagłówek 5 Znak"/>
    <w:basedOn w:val="DefaultParagraphFont"/>
    <w:link w:val="Nagwek5"/>
    <w:semiHidden/>
    <w:qFormat/>
    <w:rsid w:val="009a6d41"/>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semiHidden/>
    <w:qFormat/>
    <w:rsid w:val="009a6d41"/>
    <w:rPr>
      <w:rFonts w:ascii="Calibri Light" w:hAnsi="Calibri Light" w:eastAsia="Calibri Light" w:cs="Calibri Light"/>
      <w:i/>
      <w:iCs/>
      <w:color w:val="1F3763" w:themeColor="accent1" w:themeShade="7f"/>
      <w:sz w:val="24"/>
      <w:szCs w:val="24"/>
      <w:lang w:eastAsia="pl-PL"/>
    </w:rPr>
  </w:style>
  <w:style w:type="character" w:styleId="Nagwek7Znak" w:customStyle="1">
    <w:name w:val="Nagłówek 7 Znak"/>
    <w:basedOn w:val="DefaultParagraphFont"/>
    <w:link w:val="Nagwek7"/>
    <w:semiHidden/>
    <w:qFormat/>
    <w:rsid w:val="009a6d41"/>
    <w:rPr>
      <w:rFonts w:ascii="Times New Roman" w:hAnsi="Times New Roman" w:eastAsia="Times New Roman" w:cs="Times New Roman"/>
      <w:sz w:val="24"/>
      <w:szCs w:val="24"/>
      <w:lang w:eastAsia="pl-PL"/>
    </w:rPr>
  </w:style>
  <w:style w:type="character" w:styleId="Nagwek9Znak" w:customStyle="1">
    <w:name w:val="Nagłówek 9 Znak"/>
    <w:basedOn w:val="DefaultParagraphFont"/>
    <w:link w:val="Nagwek9"/>
    <w:semiHidden/>
    <w:qFormat/>
    <w:rsid w:val="009a6d41"/>
    <w:rPr>
      <w:rFonts w:ascii="Times New Roman" w:hAnsi="Times New Roman" w:eastAsia="Times New Roman" w:cs="Times New Roman"/>
      <w:b/>
      <w:bCs/>
      <w:sz w:val="24"/>
      <w:szCs w:val="24"/>
      <w:lang w:eastAsia="pl-PL"/>
    </w:rPr>
  </w:style>
  <w:style w:type="character" w:styleId="TekstprzypisudolnegoZnak" w:customStyle="1">
    <w:name w:val="Tekst przypisu dolnego Znak"/>
    <w:basedOn w:val="DefaultParagraphFont"/>
    <w:link w:val="Tekstprzypisudolnego"/>
    <w:semiHidden/>
    <w:qFormat/>
    <w:rsid w:val="009a6d41"/>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link w:val="Tekstkomentarza"/>
    <w:uiPriority w:val="99"/>
    <w:qFormat/>
    <w:rsid w:val="009a6d41"/>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semiHidden/>
    <w:qFormat/>
    <w:rsid w:val="009a6d41"/>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semiHidden/>
    <w:qFormat/>
    <w:rsid w:val="009a6d41"/>
    <w:rPr/>
  </w:style>
  <w:style w:type="character" w:styleId="StopkaZnak" w:customStyle="1">
    <w:name w:val="Stopka Znak"/>
    <w:basedOn w:val="DefaultParagraphFont"/>
    <w:link w:val="Stopka"/>
    <w:qFormat/>
    <w:rsid w:val="009a6d41"/>
    <w:rPr>
      <w:rFonts w:ascii="Calibri" w:hAnsi="Calibri" w:eastAsia="Calibri" w:cs="Calibri"/>
      <w:sz w:val="24"/>
      <w:szCs w:val="24"/>
      <w:lang w:eastAsia="pl-PL"/>
    </w:rPr>
  </w:style>
  <w:style w:type="character" w:styleId="LegendaZnak" w:customStyle="1">
    <w:name w:val="Legenda Znak"/>
    <w:basedOn w:val="DefaultParagraphFont"/>
    <w:semiHidden/>
    <w:qFormat/>
    <w:locked/>
    <w:rsid w:val="009a6d41"/>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semiHidden/>
    <w:qFormat/>
    <w:rsid w:val="009a6d41"/>
    <w:rPr>
      <w:rFonts w:ascii="Times New Roman" w:hAnsi="Times New Roman" w:eastAsia="Times New Roman" w:cs="Times New Roman"/>
      <w:sz w:val="20"/>
      <w:szCs w:val="20"/>
      <w:lang w:eastAsia="pl-PL"/>
    </w:rPr>
  </w:style>
  <w:style w:type="character" w:styleId="PodtytuZnak" w:customStyle="1">
    <w:name w:val="Podtytuł Znak"/>
    <w:basedOn w:val="DefaultParagraphFont"/>
    <w:link w:val="Podtytu"/>
    <w:qFormat/>
    <w:rsid w:val="009a6d41"/>
    <w:rPr>
      <w:rFonts w:ascii="Arial" w:hAnsi="Arial" w:eastAsia="MS Mincho" w:cs="Tahoma"/>
      <w:i/>
      <w:iCs/>
      <w:kern w:val="2"/>
      <w:sz w:val="28"/>
      <w:szCs w:val="28"/>
      <w:lang w:eastAsia="ar-SA"/>
    </w:rPr>
  </w:style>
  <w:style w:type="character" w:styleId="TytuZnak" w:customStyle="1">
    <w:name w:val="Tytuł Znak"/>
    <w:basedOn w:val="DefaultParagraphFont"/>
    <w:link w:val="Tytu"/>
    <w:qFormat/>
    <w:rsid w:val="009a6d41"/>
    <w:rPr>
      <w:rFonts w:ascii="Times New Roman" w:hAnsi="Times New Roman" w:eastAsia="Times New Roman" w:cs="Times New Roman"/>
      <w:b/>
      <w:bCs/>
      <w:kern w:val="2"/>
      <w:sz w:val="36"/>
      <w:szCs w:val="24"/>
      <w:lang w:eastAsia="ar-SA"/>
    </w:rPr>
  </w:style>
  <w:style w:type="character" w:styleId="LegendaZnak1" w:customStyle="1">
    <w:name w:val="Legenda Znak1"/>
    <w:basedOn w:val="DefaultParagraphFont"/>
    <w:link w:val="Legenda"/>
    <w:semiHidden/>
    <w:qFormat/>
    <w:rsid w:val="009a6d41"/>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semiHidden/>
    <w:qFormat/>
    <w:rsid w:val="009a6d41"/>
    <w:rPr>
      <w:rFonts w:ascii="Times New Roman" w:hAnsi="Times New Roman" w:eastAsia="Times New Roman" w:cs="Times New Roman"/>
      <w:sz w:val="24"/>
      <w:szCs w:val="24"/>
      <w:lang w:eastAsia="pl-PL"/>
    </w:rPr>
  </w:style>
  <w:style w:type="character" w:styleId="Tekstpodstawowyzwciciem2Znak" w:customStyle="1">
    <w:name w:val="Tekst podstawowy z wcięciem 2 Znak"/>
    <w:basedOn w:val="TekstpodstawowywcityZnak"/>
    <w:link w:val="Tekstpodstawowyzwciciem2"/>
    <w:semiHidden/>
    <w:qFormat/>
    <w:rsid w:val="009a6d41"/>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link w:val="Tekstpodstawowy3"/>
    <w:semiHidden/>
    <w:qFormat/>
    <w:rsid w:val="009a6d41"/>
    <w:rPr>
      <w:rFonts w:ascii="Arial" w:hAnsi="Arial" w:eastAsia="Calibri" w:cs="Arial"/>
      <w:sz w:val="24"/>
      <w:szCs w:val="24"/>
      <w:lang w:eastAsia="pl-PL"/>
    </w:rPr>
  </w:style>
  <w:style w:type="character" w:styleId="Tekstpodstawowywcity2Znak" w:customStyle="1">
    <w:name w:val="Tekst podstawowy wcięty 2 Znak"/>
    <w:basedOn w:val="DefaultParagraphFont"/>
    <w:link w:val="Tekstpodstawowywcity2"/>
    <w:semiHidden/>
    <w:qFormat/>
    <w:rsid w:val="009a6d41"/>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link w:val="Tekstpodstawowywcity3"/>
    <w:semiHidden/>
    <w:qFormat/>
    <w:rsid w:val="009a6d41"/>
    <w:rPr>
      <w:rFonts w:ascii="Arial" w:hAnsi="Arial" w:eastAsia="Calibri" w:cs="Arial"/>
      <w:b/>
      <w:bCs/>
      <w:sz w:val="24"/>
      <w:szCs w:val="24"/>
      <w:lang w:eastAsia="pl-PL"/>
    </w:rPr>
  </w:style>
  <w:style w:type="character" w:styleId="TematkomentarzaZnak" w:customStyle="1">
    <w:name w:val="Temat komentarza Znak"/>
    <w:basedOn w:val="TekstkomentarzaZnak"/>
    <w:link w:val="Tematkomentarza"/>
    <w:semiHidden/>
    <w:qFormat/>
    <w:rsid w:val="009a6d41"/>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semiHidden/>
    <w:qFormat/>
    <w:rsid w:val="009a6d41"/>
    <w:rPr>
      <w:rFonts w:ascii="Tahoma" w:hAnsi="Tahoma" w:eastAsia="Times New Roman" w:cs="Times New Roman"/>
      <w:sz w:val="16"/>
      <w:szCs w:val="16"/>
      <w:lang w:eastAsia="pl-PL"/>
    </w:rPr>
  </w:style>
  <w:style w:type="character" w:styleId="AkapitzlistZnak" w:customStyle="1">
    <w:name w:val="Akapit z listą Znak"/>
    <w:link w:val="Akapitzlist"/>
    <w:uiPriority w:val="34"/>
    <w:qFormat/>
    <w:locked/>
    <w:rsid w:val="009a6d41"/>
    <w:rPr>
      <w:rFonts w:ascii="Times New Roman" w:hAnsi="Times New Roman" w:eastAsia="Times New Roman" w:cs="Times New Roman"/>
      <w:sz w:val="24"/>
      <w:szCs w:val="24"/>
      <w:lang w:eastAsia="pl-PL"/>
    </w:rPr>
  </w:style>
  <w:style w:type="character" w:styleId="Bodytext2" w:customStyle="1">
    <w:name w:val="Body text (2)_"/>
    <w:link w:val="Bodytext21"/>
    <w:qFormat/>
    <w:locked/>
    <w:rsid w:val="009a6d41"/>
    <w:rPr>
      <w:rFonts w:ascii="Arial" w:hAnsi="Arial" w:cs="Arial"/>
      <w:shd w:fill="FFFFFF" w:val="clear"/>
    </w:rPr>
  </w:style>
  <w:style w:type="character" w:styleId="Annotationreference">
    <w:name w:val="annotation reference"/>
    <w:uiPriority w:val="99"/>
    <w:semiHidden/>
    <w:unhideWhenUsed/>
    <w:qFormat/>
    <w:rsid w:val="009a6d41"/>
    <w:rPr>
      <w:sz w:val="16"/>
      <w:szCs w:val="16"/>
    </w:rPr>
  </w:style>
  <w:style w:type="character" w:styleId="Czeinternetowe" w:customStyle="1">
    <w:name w:val="Łącze internetowe"/>
    <w:basedOn w:val="DefaultParagraphFont"/>
    <w:uiPriority w:val="99"/>
    <w:semiHidden/>
    <w:unhideWhenUsed/>
    <w:rsid w:val="009a6d41"/>
    <w:rPr>
      <w:color w:val="0000FF"/>
      <w:u w:val="single"/>
    </w:rPr>
  </w:style>
  <w:style w:type="character" w:styleId="StopkaZnak1" w:customStyle="1">
    <w:name w:val="Stopka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1" w:customStyle="1">
    <w:name w:val="Tekst podstawow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3Znak1" w:customStyle="1">
    <w:name w:val="Tekst podstawowy wcięt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Heading3" w:customStyle="1">
    <w:name w:val="Heading #3_"/>
    <w:qFormat/>
    <w:rsid w:val="009a6d41"/>
    <w:rPr>
      <w:rFonts w:ascii="Arial" w:hAnsi="Arial" w:cs="Arial"/>
      <w:shd w:fill="FFFFFF" w:val="clear"/>
    </w:rPr>
  </w:style>
  <w:style w:type="character" w:styleId="Heading31" w:customStyle="1">
    <w:name w:val="Heading #3"/>
    <w:qFormat/>
    <w:rsid w:val="009a6d41"/>
    <w:rPr>
      <w:rFonts w:ascii="Arial" w:hAnsi="Arial" w:cs="Arial"/>
      <w:spacing w:val="0"/>
      <w:sz w:val="20"/>
      <w:szCs w:val="20"/>
      <w:shd w:fill="FFFFFF" w:val="clear"/>
      <w:lang w:val="en-US" w:eastAsia="en-US"/>
    </w:rPr>
  </w:style>
  <w:style w:type="character" w:styleId="Zakotwiczenieprzypisukocowego" w:customStyle="1">
    <w:name w:val="Zakotwiczenie przypisu końcowego"/>
    <w:rsid w:val="009a6d41"/>
    <w:rPr>
      <w:vertAlign w:val="superscript"/>
    </w:rPr>
  </w:style>
  <w:style w:type="character" w:styleId="EndnoteCharacters" w:customStyle="1">
    <w:name w:val="Endnote Characters"/>
    <w:qFormat/>
    <w:rsid w:val="009a6d41"/>
    <w:rPr>
      <w:vertAlign w:val="superscript"/>
    </w:rPr>
  </w:style>
  <w:style w:type="character" w:styleId="Zakotwiczenieprzypisudolnego" w:customStyle="1">
    <w:name w:val="Zakotwiczenie przypisu dolnego"/>
    <w:rsid w:val="009a6d41"/>
    <w:rPr>
      <w:vertAlign w:val="superscript"/>
    </w:rPr>
  </w:style>
  <w:style w:type="character" w:styleId="FootnoteCharacters" w:customStyle="1">
    <w:name w:val="Footnote Characters"/>
    <w:uiPriority w:val="99"/>
    <w:qFormat/>
    <w:rsid w:val="009a6d41"/>
    <w:rPr>
      <w:vertAlign w:val="superscript"/>
    </w:rPr>
  </w:style>
  <w:style w:type="character" w:styleId="Odwiedzoneczeinternetowe" w:customStyle="1">
    <w:name w:val="Odwiedzone łącze internetowe"/>
    <w:basedOn w:val="DefaultParagraphFont"/>
    <w:uiPriority w:val="99"/>
    <w:semiHidden/>
    <w:unhideWhenUsed/>
    <w:rsid w:val="009a6d41"/>
    <w:rPr>
      <w:color w:val="800080"/>
      <w:u w:val="single"/>
    </w:rPr>
  </w:style>
  <w:style w:type="character" w:styleId="KasiaZnak" w:customStyle="1">
    <w:name w:val="kasia Znak"/>
    <w:uiPriority w:val="99"/>
    <w:qFormat/>
    <w:locked/>
    <w:rsid w:val="009a6d41"/>
    <w:rPr>
      <w:rFonts w:ascii="Arial" w:hAnsi="Arial" w:cs="Arial"/>
      <w:b/>
      <w:bCs w:val="false"/>
      <w:i/>
      <w:iCs w:val="false"/>
      <w:sz w:val="24"/>
      <w:u w:val="single"/>
    </w:rPr>
  </w:style>
  <w:style w:type="character" w:styleId="PktZnak" w:customStyle="1">
    <w:name w:val="pkt Znak"/>
    <w:uiPriority w:val="99"/>
    <w:qFormat/>
    <w:locked/>
    <w:rsid w:val="009a6d41"/>
    <w:rPr>
      <w:sz w:val="24"/>
    </w:rPr>
  </w:style>
  <w:style w:type="character" w:styleId="Wyrnienie" w:customStyle="1">
    <w:name w:val="Wyróżnienie"/>
    <w:basedOn w:val="DefaultParagraphFont"/>
    <w:uiPriority w:val="20"/>
    <w:qFormat/>
    <w:rsid w:val="009a6d41"/>
    <w:rPr>
      <w:i/>
      <w:iCs/>
    </w:rPr>
  </w:style>
  <w:style w:type="character" w:styleId="Alb" w:customStyle="1">
    <w:name w:val="a_lb"/>
    <w:basedOn w:val="DefaultParagraphFont"/>
    <w:qFormat/>
    <w:rsid w:val="009a6d41"/>
    <w:rPr/>
  </w:style>
  <w:style w:type="character" w:styleId="Albs" w:customStyle="1">
    <w:name w:val="a_lb-s"/>
    <w:basedOn w:val="DefaultParagraphFont"/>
    <w:qFormat/>
    <w:rsid w:val="009a6d41"/>
    <w:rPr/>
  </w:style>
  <w:style w:type="character" w:styleId="Nierozpoznanawzmianka1" w:customStyle="1">
    <w:name w:val="Nierozpoznana wzmianka1"/>
    <w:basedOn w:val="DefaultParagraphFont"/>
    <w:uiPriority w:val="99"/>
    <w:semiHidden/>
    <w:qFormat/>
    <w:rsid w:val="009a6d41"/>
    <w:rPr>
      <w:color w:val="605E5C"/>
      <w:shd w:fill="E1DFDD" w:val="clear"/>
    </w:rPr>
  </w:style>
  <w:style w:type="character" w:styleId="WW8Num3z1" w:customStyle="1">
    <w:name w:val="WW8Num3z1"/>
    <w:qFormat/>
    <w:rsid w:val="009a6d41"/>
    <w:rPr/>
  </w:style>
  <w:style w:type="character" w:styleId="DeltaViewInsertion" w:customStyle="1">
    <w:name w:val="DeltaView Insertion"/>
    <w:qFormat/>
    <w:rsid w:val="009a6d41"/>
    <w:rPr>
      <w:b/>
      <w:bCs w:val="false"/>
      <w:i/>
      <w:iCs w:val="false"/>
      <w:spacing w:val="0"/>
    </w:rPr>
  </w:style>
  <w:style w:type="character" w:styleId="Domylnaczcionkaakapitu1" w:customStyle="1">
    <w:name w:val="Domyślna czcionka akapitu1"/>
    <w:qFormat/>
    <w:rsid w:val="009a6d41"/>
    <w:rPr/>
  </w:style>
  <w:style w:type="character" w:styleId="WW8Num2z0" w:customStyle="1">
    <w:name w:val="WW8Num2z0"/>
    <w:qFormat/>
    <w:rsid w:val="009a6d41"/>
    <w:rPr/>
  </w:style>
  <w:style w:type="character" w:styleId="WW8Num4z0" w:customStyle="1">
    <w:name w:val="WW8Num4z0"/>
    <w:qFormat/>
    <w:rsid w:val="009a6d41"/>
    <w:rPr/>
  </w:style>
  <w:style w:type="character" w:styleId="WW8Num5z0" w:customStyle="1">
    <w:name w:val="WW8Num5z0"/>
    <w:qFormat/>
    <w:rsid w:val="009a6d41"/>
    <w:rPr/>
  </w:style>
  <w:style w:type="character" w:styleId="AbsatzStandardschriftart" w:customStyle="1">
    <w:name w:val="Absatz-Standardschriftart"/>
    <w:qFormat/>
    <w:rsid w:val="009a6d41"/>
    <w:rPr/>
  </w:style>
  <w:style w:type="character" w:styleId="WWAbsatzStandardschriftart" w:customStyle="1">
    <w:name w:val="WW-Absatz-Standardschriftart"/>
    <w:qFormat/>
    <w:rsid w:val="009a6d41"/>
    <w:rPr/>
  </w:style>
  <w:style w:type="character" w:styleId="WWAbsatzStandardschriftart1" w:customStyle="1">
    <w:name w:val="WW-Absatz-Standardschriftart1"/>
    <w:qFormat/>
    <w:rsid w:val="009a6d41"/>
    <w:rPr/>
  </w:style>
  <w:style w:type="character" w:styleId="WWAbsatzStandardschriftart11" w:customStyle="1">
    <w:name w:val="WW-Absatz-Standardschriftart11"/>
    <w:qFormat/>
    <w:rsid w:val="009a6d41"/>
    <w:rPr/>
  </w:style>
  <w:style w:type="character" w:styleId="WWAbsatzStandardschriftart111" w:customStyle="1">
    <w:name w:val="WW-Absatz-Standardschriftart111"/>
    <w:qFormat/>
    <w:rsid w:val="009a6d41"/>
    <w:rPr/>
  </w:style>
  <w:style w:type="character" w:styleId="WWAbsatzStandardschriftart1111" w:customStyle="1">
    <w:name w:val="WW-Absatz-Standardschriftart1111"/>
    <w:qFormat/>
    <w:rsid w:val="009a6d41"/>
    <w:rPr/>
  </w:style>
  <w:style w:type="character" w:styleId="WWDomylnaczcionkaakapitu" w:customStyle="1">
    <w:name w:val="WW-Domyślna czcionka akapitu"/>
    <w:qFormat/>
    <w:rsid w:val="009a6d41"/>
    <w:rPr/>
  </w:style>
  <w:style w:type="character" w:styleId="WW8Num3z0" w:customStyle="1">
    <w:name w:val="WW8Num3z0"/>
    <w:qFormat/>
    <w:rsid w:val="009a6d41"/>
    <w:rPr/>
  </w:style>
  <w:style w:type="character" w:styleId="WW8Num6z0" w:customStyle="1">
    <w:name w:val="WW8Num6z0"/>
    <w:qFormat/>
    <w:rsid w:val="009a6d41"/>
    <w:rPr/>
  </w:style>
  <w:style w:type="character" w:styleId="WW8Num7z0" w:customStyle="1">
    <w:name w:val="WW8Num7z0"/>
    <w:qFormat/>
    <w:rsid w:val="009a6d41"/>
    <w:rPr/>
  </w:style>
  <w:style w:type="character" w:styleId="WWDomylnaczcionkaakapitu1" w:customStyle="1">
    <w:name w:val="WW-Domyślna czcionka akapitu1"/>
    <w:qFormat/>
    <w:rsid w:val="009a6d41"/>
    <w:rPr/>
  </w:style>
  <w:style w:type="character" w:styleId="WWAbsatzStandardschriftart11111" w:customStyle="1">
    <w:name w:val="WW-Absatz-Standardschriftart11111"/>
    <w:qFormat/>
    <w:rsid w:val="009a6d41"/>
    <w:rPr/>
  </w:style>
  <w:style w:type="character" w:styleId="WWAbsatzStandardschriftart111111" w:customStyle="1">
    <w:name w:val="WW-Absatz-Standardschriftart111111"/>
    <w:qFormat/>
    <w:rsid w:val="009a6d41"/>
    <w:rPr/>
  </w:style>
  <w:style w:type="character" w:styleId="WWAbsatzStandardschriftart1111111" w:customStyle="1">
    <w:name w:val="WW-Absatz-Standardschriftart1111111"/>
    <w:qFormat/>
    <w:rsid w:val="009a6d41"/>
    <w:rPr/>
  </w:style>
  <w:style w:type="character" w:styleId="WWAbsatzStandardschriftart11111111" w:customStyle="1">
    <w:name w:val="WW-Absatz-Standardschriftart11111111"/>
    <w:qFormat/>
    <w:rsid w:val="009a6d41"/>
    <w:rPr/>
  </w:style>
  <w:style w:type="character" w:styleId="WWAbsatzStandardschriftart111111111" w:customStyle="1">
    <w:name w:val="WW-Absatz-Standardschriftart111111111"/>
    <w:qFormat/>
    <w:rsid w:val="009a6d41"/>
    <w:rPr/>
  </w:style>
  <w:style w:type="character" w:styleId="WWAbsatzStandardschriftart1111111111" w:customStyle="1">
    <w:name w:val="WW-Absatz-Standardschriftart1111111111"/>
    <w:qFormat/>
    <w:rsid w:val="009a6d41"/>
    <w:rPr/>
  </w:style>
  <w:style w:type="character" w:styleId="WWAbsatzStandardschriftart11111111111" w:customStyle="1">
    <w:name w:val="WW-Absatz-Standardschriftart11111111111"/>
    <w:qFormat/>
    <w:rsid w:val="009a6d41"/>
    <w:rPr/>
  </w:style>
  <w:style w:type="character" w:styleId="WWAbsatzStandardschriftart111111111111" w:customStyle="1">
    <w:name w:val="WW-Absatz-Standardschriftart111111111111"/>
    <w:qFormat/>
    <w:rsid w:val="009a6d41"/>
    <w:rPr/>
  </w:style>
  <w:style w:type="character" w:styleId="WWAbsatzStandardschriftart1111111111111" w:customStyle="1">
    <w:name w:val="WW-Absatz-Standardschriftart1111111111111"/>
    <w:qFormat/>
    <w:rsid w:val="009a6d41"/>
    <w:rPr/>
  </w:style>
  <w:style w:type="character" w:styleId="WWAbsatzStandardschriftart11111111111111" w:customStyle="1">
    <w:name w:val="WW-Absatz-Standardschriftart11111111111111"/>
    <w:qFormat/>
    <w:rsid w:val="009a6d41"/>
    <w:rPr/>
  </w:style>
  <w:style w:type="character" w:styleId="WWAbsatzStandardschriftart111111111111111" w:customStyle="1">
    <w:name w:val="WW-Absatz-Standardschriftart111111111111111"/>
    <w:qFormat/>
    <w:rsid w:val="009a6d41"/>
    <w:rPr/>
  </w:style>
  <w:style w:type="character" w:styleId="WWAbsatzStandardschriftart1111111111111111" w:customStyle="1">
    <w:name w:val="WW-Absatz-Standardschriftart1111111111111111"/>
    <w:qFormat/>
    <w:rsid w:val="009a6d41"/>
    <w:rPr/>
  </w:style>
  <w:style w:type="character" w:styleId="WWAbsatzStandardschriftart11111111111111111" w:customStyle="1">
    <w:name w:val="WW-Absatz-Standardschriftart11111111111111111"/>
    <w:qFormat/>
    <w:rsid w:val="009a6d41"/>
    <w:rPr/>
  </w:style>
  <w:style w:type="character" w:styleId="WWAbsatzStandardschriftart111111111111111111" w:customStyle="1">
    <w:name w:val="WW-Absatz-Standardschriftart111111111111111111"/>
    <w:qFormat/>
    <w:rsid w:val="009a6d41"/>
    <w:rPr/>
  </w:style>
  <w:style w:type="character" w:styleId="WWAbsatzStandardschriftart1111111111111111111" w:customStyle="1">
    <w:name w:val="WW-Absatz-Standardschriftart1111111111111111111"/>
    <w:qFormat/>
    <w:rsid w:val="009a6d41"/>
    <w:rPr/>
  </w:style>
  <w:style w:type="character" w:styleId="WWAbsatzStandardschriftart11111111111111111111" w:customStyle="1">
    <w:name w:val="WW-Absatz-Standardschriftart11111111111111111111"/>
    <w:qFormat/>
    <w:rsid w:val="009a6d41"/>
    <w:rPr/>
  </w:style>
  <w:style w:type="character" w:styleId="WWAbsatzStandardschriftart111111111111111111111" w:customStyle="1">
    <w:name w:val="WW-Absatz-Standardschriftart111111111111111111111"/>
    <w:qFormat/>
    <w:rsid w:val="009a6d41"/>
    <w:rPr/>
  </w:style>
  <w:style w:type="character" w:styleId="WWAbsatzStandardschriftart1111111111111111111111" w:customStyle="1">
    <w:name w:val="WW-Absatz-Standardschriftart1111111111111111111111"/>
    <w:qFormat/>
    <w:rsid w:val="009a6d41"/>
    <w:rPr/>
  </w:style>
  <w:style w:type="character" w:styleId="WW8Num9z0" w:customStyle="1">
    <w:name w:val="WW8Num9z0"/>
    <w:qFormat/>
    <w:rsid w:val="009a6d41"/>
    <w:rPr/>
  </w:style>
  <w:style w:type="character" w:styleId="WWDomylnaczcionkaakapitu11" w:customStyle="1">
    <w:name w:val="WW-Domyślna czcionka akapitu11"/>
    <w:qFormat/>
    <w:rsid w:val="009a6d41"/>
    <w:rPr/>
  </w:style>
  <w:style w:type="character" w:styleId="WWAbsatzStandardschriftart11111111111111111111111" w:customStyle="1">
    <w:name w:val="WW-Absatz-Standardschriftart11111111111111111111111"/>
    <w:qFormat/>
    <w:rsid w:val="009a6d41"/>
    <w:rPr/>
  </w:style>
  <w:style w:type="character" w:styleId="WW8Num1z0" w:customStyle="1">
    <w:name w:val="WW8Num1z0"/>
    <w:qFormat/>
    <w:rsid w:val="009a6d41"/>
    <w:rPr/>
  </w:style>
  <w:style w:type="character" w:styleId="WWAbsatzStandardschriftart111111111111111111111111" w:customStyle="1">
    <w:name w:val="WW-Absatz-Standardschriftart111111111111111111111111"/>
    <w:qFormat/>
    <w:rsid w:val="009a6d41"/>
    <w:rPr/>
  </w:style>
  <w:style w:type="character" w:styleId="WWAbsatzStandardschriftart1111111111111111111111111" w:customStyle="1">
    <w:name w:val="WW-Absatz-Standardschriftart1111111111111111111111111"/>
    <w:qFormat/>
    <w:rsid w:val="009a6d41"/>
    <w:rPr/>
  </w:style>
  <w:style w:type="character" w:styleId="WWAbsatzStandardschriftart11111111111111111111111111" w:customStyle="1">
    <w:name w:val="WW-Absatz-Standardschriftart11111111111111111111111111"/>
    <w:qFormat/>
    <w:rsid w:val="009a6d41"/>
    <w:rPr/>
  </w:style>
  <w:style w:type="character" w:styleId="WW8Num7z1" w:customStyle="1">
    <w:name w:val="WW8Num7z1"/>
    <w:qFormat/>
    <w:rsid w:val="009a6d41"/>
    <w:rPr/>
  </w:style>
  <w:style w:type="character" w:styleId="WW8Num7z2" w:customStyle="1">
    <w:name w:val="WW8Num7z2"/>
    <w:qFormat/>
    <w:rsid w:val="009a6d41"/>
    <w:rPr/>
  </w:style>
  <w:style w:type="character" w:styleId="WW8Num7z3" w:customStyle="1">
    <w:name w:val="WW8Num7z3"/>
    <w:qFormat/>
    <w:rsid w:val="009a6d41"/>
    <w:rPr/>
  </w:style>
  <w:style w:type="character" w:styleId="WW8Num8z0" w:customStyle="1">
    <w:name w:val="WW8Num8z0"/>
    <w:qFormat/>
    <w:rsid w:val="009a6d41"/>
    <w:rPr/>
  </w:style>
  <w:style w:type="character" w:styleId="WW8Num11z0" w:customStyle="1">
    <w:name w:val="WW8Num11z0"/>
    <w:qFormat/>
    <w:rsid w:val="009a6d41"/>
    <w:rPr/>
  </w:style>
  <w:style w:type="character" w:styleId="WW8Num12z0" w:customStyle="1">
    <w:name w:val="WW8Num12z0"/>
    <w:qFormat/>
    <w:rsid w:val="009a6d41"/>
    <w:rPr/>
  </w:style>
  <w:style w:type="character" w:styleId="WW8Num17z0" w:customStyle="1">
    <w:name w:val="WW8Num17z0"/>
    <w:qFormat/>
    <w:rsid w:val="009a6d41"/>
    <w:rPr/>
  </w:style>
  <w:style w:type="character" w:styleId="WW8Num18z0" w:customStyle="1">
    <w:name w:val="WW8Num18z0"/>
    <w:qFormat/>
    <w:rsid w:val="009a6d41"/>
    <w:rPr/>
  </w:style>
  <w:style w:type="character" w:styleId="WW8Num23z0" w:customStyle="1">
    <w:name w:val="WW8Num23z0"/>
    <w:qFormat/>
    <w:rsid w:val="009a6d41"/>
    <w:rPr/>
  </w:style>
  <w:style w:type="character" w:styleId="WW8Num24z0" w:customStyle="1">
    <w:name w:val="WW8Num24z0"/>
    <w:qFormat/>
    <w:rsid w:val="009a6d41"/>
    <w:rPr/>
  </w:style>
  <w:style w:type="character" w:styleId="WW8Num26z0" w:customStyle="1">
    <w:name w:val="WW8Num26z0"/>
    <w:qFormat/>
    <w:rsid w:val="009a6d41"/>
    <w:rPr/>
  </w:style>
  <w:style w:type="character" w:styleId="WW8Num27z0" w:customStyle="1">
    <w:name w:val="WW8Num27z0"/>
    <w:qFormat/>
    <w:rsid w:val="009a6d41"/>
    <w:rPr/>
  </w:style>
  <w:style w:type="character" w:styleId="WW8Num28z0" w:customStyle="1">
    <w:name w:val="WW8Num28z0"/>
    <w:qFormat/>
    <w:rsid w:val="009a6d41"/>
    <w:rPr/>
  </w:style>
  <w:style w:type="character" w:styleId="WW8Num29z0" w:customStyle="1">
    <w:name w:val="WW8Num29z0"/>
    <w:qFormat/>
    <w:rsid w:val="009a6d41"/>
    <w:rPr/>
  </w:style>
  <w:style w:type="character" w:styleId="WW8Num36z0" w:customStyle="1">
    <w:name w:val="WW8Num36z0"/>
    <w:qFormat/>
    <w:rsid w:val="009a6d41"/>
    <w:rPr/>
  </w:style>
  <w:style w:type="character" w:styleId="WW8Num37z0" w:customStyle="1">
    <w:name w:val="WW8Num37z0"/>
    <w:qFormat/>
    <w:rsid w:val="009a6d41"/>
    <w:rPr/>
  </w:style>
  <w:style w:type="character" w:styleId="WW8Num38z0" w:customStyle="1">
    <w:name w:val="WW8Num38z0"/>
    <w:qFormat/>
    <w:rsid w:val="009a6d41"/>
    <w:rPr/>
  </w:style>
  <w:style w:type="character" w:styleId="WW8Num39z0" w:customStyle="1">
    <w:name w:val="WW8Num39z0"/>
    <w:qFormat/>
    <w:rsid w:val="009a6d41"/>
    <w:rPr/>
  </w:style>
  <w:style w:type="character" w:styleId="WW8Num42z0" w:customStyle="1">
    <w:name w:val="WW8Num42z0"/>
    <w:qFormat/>
    <w:rsid w:val="009a6d41"/>
    <w:rPr/>
  </w:style>
  <w:style w:type="character" w:styleId="WW8Num46z0" w:customStyle="1">
    <w:name w:val="WW8Num46z0"/>
    <w:qFormat/>
    <w:rsid w:val="009a6d41"/>
    <w:rPr/>
  </w:style>
  <w:style w:type="character" w:styleId="WW8Num47z0" w:customStyle="1">
    <w:name w:val="WW8Num47z0"/>
    <w:qFormat/>
    <w:rsid w:val="009a6d41"/>
    <w:rPr/>
  </w:style>
  <w:style w:type="character" w:styleId="WW8Num48z0" w:customStyle="1">
    <w:name w:val="WW8Num48z0"/>
    <w:qFormat/>
    <w:rsid w:val="009a6d41"/>
    <w:rPr/>
  </w:style>
  <w:style w:type="character" w:styleId="WWDomylnaczcionkaakapitu111" w:customStyle="1">
    <w:name w:val="WW-Domyślna czcionka akapitu111"/>
    <w:qFormat/>
    <w:rsid w:val="009a6d41"/>
    <w:rPr/>
  </w:style>
  <w:style w:type="character" w:styleId="Numerstrony1" w:customStyle="1">
    <w:name w:val="Numer strony1"/>
    <w:basedOn w:val="WWDomylnaczcionkaakapitu111"/>
    <w:qFormat/>
    <w:rsid w:val="009a6d41"/>
    <w:rPr/>
  </w:style>
  <w:style w:type="character" w:styleId="UyteHipercze1" w:customStyle="1">
    <w:name w:val="UżyteHiperłącze1"/>
    <w:basedOn w:val="WWDomylnaczcionkaakapitu111"/>
    <w:qFormat/>
    <w:rsid w:val="009a6d41"/>
    <w:rPr/>
  </w:style>
  <w:style w:type="character" w:styleId="Znakiwypunktowania" w:customStyle="1">
    <w:name w:val="Znaki wypunktowania"/>
    <w:qFormat/>
    <w:rsid w:val="009a6d41"/>
    <w:rPr>
      <w:rFonts w:ascii="StarSymbol" w:hAnsi="StarSymbol" w:eastAsia="StarSymbol" w:cs="OpenSymbol"/>
      <w:sz w:val="18"/>
      <w:szCs w:val="18"/>
    </w:rPr>
  </w:style>
  <w:style w:type="character" w:styleId="Tekstpodstawowy2Znak" w:customStyle="1">
    <w:name w:val="Tekst podstawowy 2 Znak"/>
    <w:basedOn w:val="Domylnaczcionkaakapitu1"/>
    <w:qFormat/>
    <w:rsid w:val="009a6d41"/>
    <w:rPr/>
  </w:style>
  <w:style w:type="character" w:styleId="NagwekZnak1" w:customStyle="1">
    <w:name w:val="Nagłówek Znak1"/>
    <w:basedOn w:val="DefaultParagraphFont"/>
    <w:uiPriority w:val="99"/>
    <w:semiHidden/>
    <w:qFormat/>
    <w:rsid w:val="009a6d41"/>
    <w:rPr>
      <w:rFonts w:ascii="Calibri" w:hAnsi="Calibri" w:cs="Calibri"/>
      <w:kern w:val="2"/>
      <w:sz w:val="22"/>
      <w:szCs w:val="22"/>
      <w:lang w:eastAsia="ar-SA"/>
    </w:rPr>
  </w:style>
  <w:style w:type="character" w:styleId="Znakiprzypiswdolnych" w:customStyle="1">
    <w:name w:val="Znaki przypisów dolnych"/>
    <w:qFormat/>
    <w:rsid w:val="009a6d41"/>
    <w:rPr/>
  </w:style>
  <w:style w:type="character" w:styleId="Znakiprzypiswkocowych" w:customStyle="1">
    <w:name w:val="Znaki przypisów końcowych"/>
    <w:qFormat/>
    <w:rsid w:val="009a6d41"/>
    <w:rPr/>
  </w:style>
  <w:style w:type="character" w:styleId="Znakinumeracji" w:customStyle="1">
    <w:name w:val="Znaki numeracji"/>
    <w:qFormat/>
    <w:rsid w:val="009a6d41"/>
    <w:rPr>
      <w:rFonts w:ascii="Times New Roman" w:hAnsi="Times New Roman" w:cs="Times New Roman"/>
    </w:rPr>
  </w:style>
  <w:style w:type="character" w:styleId="Numeracjawierszy" w:customStyle="1">
    <w:name w:val="Numeracja wierszy"/>
    <w:rsid w:val="009a6d41"/>
    <w:rPr/>
  </w:style>
  <w:style w:type="character" w:styleId="NagwekZnak2" w:customStyle="1">
    <w:name w:val="Nagłówek Znak2"/>
    <w:basedOn w:val="DefaultParagraphFont"/>
    <w:link w:val="Nagwek"/>
    <w:uiPriority w:val="99"/>
    <w:qFormat/>
    <w:locked/>
    <w:rsid w:val="009a6d41"/>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StopkaZnak2" w:customStyle="1">
    <w:name w:val="Stopka Znak2"/>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Znak1" w:customStyle="1">
    <w:name w:val="Tekst podstawowy wcięt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2" w:customStyle="1">
    <w:name w:val="Tekst podstawow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2Znak1" w:customStyle="1">
    <w:name w:val="Tekst podstawowy wcięty 2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3Znak2" w:customStyle="1">
    <w:name w:val="Tekst podstawowy wcięt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rzypisukocowegoZnak1" w:customStyle="1">
    <w:name w:val="Tekst przypisu końcow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dymkaZnak1" w:customStyle="1">
    <w:name w:val="Tekst dymka Znak1"/>
    <w:basedOn w:val="DefaultParagraphFont"/>
    <w:uiPriority w:val="99"/>
    <w:semiHidden/>
    <w:qFormat/>
    <w:rsid w:val="009a6d41"/>
    <w:rPr>
      <w:rFonts w:ascii="Segoe UI" w:hAnsi="Segoe UI" w:eastAsia="Times New Roman" w:cs="Segoe UI"/>
      <w:sz w:val="18"/>
      <w:szCs w:val="18"/>
      <w:lang w:eastAsia="pl-PL"/>
    </w:rPr>
  </w:style>
  <w:style w:type="character" w:styleId="TekstprzypisudolnegoZnak1" w:customStyle="1">
    <w:name w:val="Tekst przypisu doln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komentarzaZnak1" w:customStyle="1">
    <w:name w:val="Tekst komentarza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matkomentarzaZnak1" w:customStyle="1">
    <w:name w:val="Temat komentarza Znak1"/>
    <w:basedOn w:val="TekstkomentarzaZnak1"/>
    <w:uiPriority w:val="99"/>
    <w:semiHidden/>
    <w:qFormat/>
    <w:rsid w:val="009a6d41"/>
    <w:rPr>
      <w:rFonts w:ascii="Times New Roman" w:hAnsi="Times New Roman" w:eastAsia="Times New Roman" w:cs="Times New Roman"/>
      <w:b/>
      <w:bCs/>
      <w:sz w:val="20"/>
      <w:szCs w:val="20"/>
      <w:lang w:eastAsia="pl-PL"/>
    </w:rPr>
  </w:style>
  <w:style w:type="character" w:styleId="Tekstpodstawowyzwciciem2Znak1" w:customStyle="1">
    <w:name w:val="Tekst podstawowy z wcięciem 2 Znak1"/>
    <w:basedOn w:val="TekstpodstawowywcityZnak1"/>
    <w:uiPriority w:val="99"/>
    <w:semiHidden/>
    <w:qFormat/>
    <w:rsid w:val="009a6d41"/>
    <w:rPr>
      <w:rFonts w:ascii="Times New Roman" w:hAnsi="Times New Roman" w:eastAsia="Times New Roman" w:cs="Times New Roman"/>
      <w:sz w:val="24"/>
      <w:szCs w:val="24"/>
      <w:lang w:eastAsia="pl-PL"/>
    </w:rPr>
  </w:style>
  <w:style w:type="character" w:styleId="TytuZnak1" w:customStyle="1">
    <w:name w:val="Tytuł Znak1"/>
    <w:basedOn w:val="DefaultParagraphFont"/>
    <w:uiPriority w:val="10"/>
    <w:qFormat/>
    <w:rsid w:val="009a6d41"/>
    <w:rPr>
      <w:rFonts w:ascii="Calibri Light" w:hAnsi="Calibri Light" w:eastAsia="Calibri Light" w:cs="Calibri Light"/>
      <w:spacing w:val="-10"/>
      <w:kern w:val="2"/>
      <w:sz w:val="56"/>
      <w:szCs w:val="56"/>
      <w:lang w:eastAsia="pl-PL"/>
    </w:rPr>
  </w:style>
  <w:style w:type="character" w:styleId="PodtytuZnak1" w:customStyle="1">
    <w:name w:val="Podtytuł Znak1"/>
    <w:basedOn w:val="DefaultParagraphFont"/>
    <w:uiPriority w:val="11"/>
    <w:qFormat/>
    <w:rsid w:val="009a6d41"/>
    <w:rPr>
      <w:rFonts w:ascii="Calibri" w:hAnsi="Calibri" w:eastAsia="Calibri" w:cs="Calibri"/>
      <w:color w:val="5A5A5A" w:themeColor="text1" w:themeTint="a5"/>
      <w:spacing w:val="15"/>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unhideWhenUsed/>
    <w:qFormat/>
    <w:rsid w:val="009a6d41"/>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Normal"/>
    <w:semiHidden/>
    <w:unhideWhenUsed/>
    <w:qFormat/>
    <w:rsid w:val="009a6d41"/>
    <w:pPr>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9a6d41"/>
    <w:pPr>
      <w:suppressLineNumbers/>
      <w:spacing w:lineRule="atLeast" w:line="100" w:before="0" w:after="0"/>
    </w:pPr>
    <w:rPr>
      <w:rFonts w:ascii="Marigold (W1)" w:hAnsi="Marigold (W1)" w:eastAsia="Marigold (W1)" w:cs="Times New Roman"/>
      <w:kern w:val="2"/>
      <w:sz w:val="24"/>
      <w:szCs w:val="20"/>
      <w:lang w:eastAsia="ar-SA"/>
    </w:rPr>
  </w:style>
  <w:style w:type="paragraph" w:styleId="Gwkaistopka" w:customStyle="1">
    <w:name w:val="Główka i stopka"/>
    <w:basedOn w:val="Normal"/>
    <w:qFormat/>
    <w:rsid w:val="009a6d41"/>
    <w:pPr>
      <w:spacing w:lineRule="auto" w:line="240" w:before="0" w:after="0"/>
    </w:pPr>
    <w:rPr>
      <w:rFonts w:ascii="Times New Roman" w:hAnsi="Times New Roman" w:eastAsia="Times New Roman" w:cs="Times New Roman"/>
      <w:sz w:val="24"/>
      <w:szCs w:val="24"/>
      <w:lang w:eastAsia="pl-PL"/>
    </w:rPr>
  </w:style>
  <w:style w:type="paragraph" w:styleId="Gwka">
    <w:name w:val="Header"/>
    <w:basedOn w:val="Normal"/>
    <w:next w:val="Tretekstu"/>
    <w:link w:val="NagwekZnak2"/>
    <w:uiPriority w:val="99"/>
    <w:unhideWhenUsed/>
    <w:qFormat/>
    <w:rsid w:val="009a6d41"/>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link w:val="LegendaZnak1"/>
    <w:semiHidden/>
    <w:unhideWhenUsed/>
    <w:qFormat/>
    <w:rsid w:val="009a6d41"/>
    <w:pPr>
      <w:suppressLineNumbers/>
      <w:spacing w:lineRule="auto" w:line="240" w:before="120" w:after="120"/>
    </w:pPr>
    <w:rPr>
      <w:rFonts w:ascii="Times New Roman" w:hAnsi="Times New Roman" w:eastAsia="Times New Roman" w:cs="Times New Roman"/>
      <w:sz w:val="24"/>
      <w:szCs w:val="24"/>
      <w:lang w:eastAsia="pl-PL"/>
    </w:rPr>
  </w:style>
  <w:style w:type="paragraph" w:styleId="Msonormal" w:customStyle="1">
    <w:name w:val="msonormal"/>
    <w:basedOn w:val="Normal"/>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NormalWeb">
    <w:name w:val="Normal (Web)"/>
    <w:basedOn w:val="Normal"/>
    <w:semiHidden/>
    <w:unhideWhenUsed/>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Przypisdolny">
    <w:name w:val="Footnote Text"/>
    <w:basedOn w:val="Normal"/>
    <w:link w:val="TekstprzypisudolnegoZnak"/>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Annotationtext">
    <w:name w:val="annotation text"/>
    <w:basedOn w:val="Normal"/>
    <w:link w:val="TekstkomentarzaZnak"/>
    <w:uiPriority w:val="99"/>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link w:val="StopkaZnak"/>
    <w:unhideWhenUsed/>
    <w:qFormat/>
    <w:rsid w:val="009a6d41"/>
    <w:pPr>
      <w:tabs>
        <w:tab w:val="clear" w:pos="708"/>
        <w:tab w:val="center" w:pos="4536" w:leader="none"/>
        <w:tab w:val="right" w:pos="9072" w:leader="none"/>
      </w:tabs>
      <w:spacing w:lineRule="auto" w:line="240" w:before="0" w:after="0"/>
    </w:pPr>
    <w:rPr>
      <w:rFonts w:ascii="Calibri" w:hAnsi="Calibri" w:eastAsia="Calibri" w:cs="Calibri"/>
      <w:sz w:val="24"/>
      <w:szCs w:val="24"/>
      <w:lang w:eastAsia="pl-PL"/>
    </w:rPr>
  </w:style>
  <w:style w:type="paragraph" w:styleId="Przypiskocowy">
    <w:name w:val="Endnote Text"/>
    <w:basedOn w:val="Normal"/>
    <w:link w:val="TekstprzypisukocowegoZnak"/>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ListBullet4">
    <w:name w:val="List Bullet 4"/>
    <w:basedOn w:val="Normal"/>
    <w:semiHidden/>
    <w:unhideWhenUsed/>
    <w:qFormat/>
    <w:rsid w:val="009a6d41"/>
    <w:pPr>
      <w:spacing w:lineRule="auto" w:line="240" w:before="0" w:after="0"/>
      <w:ind w:left="849" w:hanging="283"/>
    </w:pPr>
    <w:rPr>
      <w:rFonts w:ascii="Times New Roman" w:hAnsi="Times New Roman" w:eastAsia="Times New Roman" w:cs="Times New Roman"/>
      <w:sz w:val="20"/>
      <w:szCs w:val="20"/>
      <w:lang w:eastAsia="pl-PL"/>
    </w:rPr>
  </w:style>
  <w:style w:type="paragraph" w:styleId="ListBullet5">
    <w:name w:val="List Bullet 5"/>
    <w:basedOn w:val="Normal"/>
    <w:semiHidden/>
    <w:unhideWhenUsed/>
    <w:qFormat/>
    <w:rsid w:val="009a6d41"/>
    <w:pPr>
      <w:spacing w:lineRule="auto" w:line="240" w:before="0" w:after="0"/>
      <w:ind w:left="1132" w:hanging="283"/>
    </w:pPr>
    <w:rPr>
      <w:rFonts w:ascii="Times New Roman" w:hAnsi="Times New Roman" w:eastAsia="Times New Roman" w:cs="Times New Roman"/>
      <w:sz w:val="20"/>
      <w:szCs w:val="20"/>
      <w:lang w:eastAsia="pl-PL"/>
    </w:rPr>
  </w:style>
  <w:style w:type="paragraph" w:styleId="Podtytu">
    <w:name w:val="Subtitle"/>
    <w:next w:val="Tretekstu"/>
    <w:link w:val="PodtytuZnak"/>
    <w:qFormat/>
    <w:rsid w:val="009a6d41"/>
    <w:pPr>
      <w:widowControl/>
      <w:bidi w:val="0"/>
      <w:spacing w:before="0" w:after="0"/>
      <w:jc w:val="center"/>
    </w:pPr>
    <w:rPr>
      <w:rFonts w:ascii="Calibri" w:hAnsi="Calibri" w:eastAsia="MS Mincho" w:cs="" w:asciiTheme="minorHAnsi" w:cstheme="minorBidi" w:hAnsiTheme="minorHAnsi"/>
      <w:i/>
      <w:iCs/>
      <w:color w:val="auto"/>
      <w:kern w:val="0"/>
      <w:sz w:val="22"/>
      <w:szCs w:val="22"/>
      <w:lang w:val="pl-PL" w:eastAsia="en-US" w:bidi="ar-SA"/>
    </w:rPr>
  </w:style>
  <w:style w:type="paragraph" w:styleId="Tytu">
    <w:name w:val="Title"/>
    <w:basedOn w:val="Normal"/>
    <w:next w:val="Podtytu"/>
    <w:link w:val="TytuZnak"/>
    <w:qFormat/>
    <w:rsid w:val="009a6d41"/>
    <w:pPr>
      <w:spacing w:lineRule="atLeast" w:line="100" w:before="0" w:after="0"/>
      <w:jc w:val="center"/>
    </w:pPr>
    <w:rPr>
      <w:rFonts w:ascii="Times New Roman" w:hAnsi="Times New Roman" w:eastAsia="Times New Roman" w:cs="Times New Roman"/>
      <w:b/>
      <w:bCs/>
      <w:kern w:val="2"/>
      <w:sz w:val="36"/>
      <w:szCs w:val="24"/>
      <w:lang w:eastAsia="ar-SA"/>
    </w:rPr>
  </w:style>
  <w:style w:type="paragraph" w:styleId="Sygnatura">
    <w:name w:val="Signature"/>
    <w:basedOn w:val="Normal"/>
    <w:semiHidden/>
    <w:unhideWhenUsed/>
    <w:qFormat/>
    <w:rsid w:val="009a6d41"/>
    <w:pPr>
      <w:spacing w:lineRule="auto" w:line="240" w:before="0" w:after="0"/>
      <w:ind w:left="4252" w:hanging="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semiHidden/>
    <w:unhideWhenUsed/>
    <w:qFormat/>
    <w:rsid w:val="009a6d41"/>
    <w:pPr>
      <w:spacing w:lineRule="auto" w:line="240" w:before="0" w:after="120"/>
      <w:ind w:left="283" w:hanging="0"/>
    </w:pPr>
    <w:rPr>
      <w:rFonts w:ascii="Times New Roman" w:hAnsi="Times New Roman" w:eastAsia="Times New Roman" w:cs="Times New Roman"/>
      <w:sz w:val="24"/>
      <w:szCs w:val="24"/>
      <w:lang w:eastAsia="pl-PL"/>
    </w:rPr>
  </w:style>
  <w:style w:type="paragraph" w:styleId="BodyTextFirstIndent2">
    <w:name w:val="Body Text First Indent 2"/>
    <w:basedOn w:val="Wcicietrecitekstu"/>
    <w:link w:val="Tekstpodstawowyzwciciem2Znak"/>
    <w:semiHidden/>
    <w:unhideWhenUsed/>
    <w:qFormat/>
    <w:rsid w:val="009a6d41"/>
    <w:pPr>
      <w:ind w:left="283" w:firstLine="210"/>
    </w:pPr>
    <w:rPr/>
  </w:style>
  <w:style w:type="paragraph" w:styleId="BodyText3">
    <w:name w:val="Body Text 3"/>
    <w:basedOn w:val="Normal"/>
    <w:link w:val="Tekstpodstawowy3Znak"/>
    <w:semiHidden/>
    <w:unhideWhenUsed/>
    <w:qFormat/>
    <w:rsid w:val="009a6d41"/>
    <w:pPr>
      <w:spacing w:lineRule="auto" w:line="240" w:before="0" w:after="0"/>
      <w:jc w:val="both"/>
    </w:pPr>
    <w:rPr>
      <w:rFonts w:ascii="Arial" w:hAnsi="Arial" w:eastAsia="Calibri" w:cs="Arial"/>
      <w:sz w:val="24"/>
      <w:szCs w:val="24"/>
      <w:lang w:eastAsia="pl-PL"/>
    </w:rPr>
  </w:style>
  <w:style w:type="paragraph" w:styleId="BodyTextIndent2">
    <w:name w:val="Body Text Indent 2"/>
    <w:basedOn w:val="Normal"/>
    <w:link w:val="Tekstpodstawowywcity2Znak"/>
    <w:semiHidden/>
    <w:unhideWhenUsed/>
    <w:qFormat/>
    <w:rsid w:val="009a6d41"/>
    <w:pPr>
      <w:spacing w:lineRule="auto" w:line="480" w:before="0" w:after="120"/>
      <w:ind w:left="283" w:hanging="0"/>
    </w:pPr>
    <w:rPr>
      <w:rFonts w:ascii="Times New Roman" w:hAnsi="Times New Roman" w:eastAsia="Times New Roman" w:cs="Times New Roman"/>
      <w:sz w:val="24"/>
      <w:szCs w:val="24"/>
      <w:lang w:eastAsia="pl-PL"/>
    </w:rPr>
  </w:style>
  <w:style w:type="paragraph" w:styleId="BodyTextIndent3">
    <w:name w:val="Body Text Indent 3"/>
    <w:basedOn w:val="Normal"/>
    <w:link w:val="Tekstpodstawowywcity3Znak"/>
    <w:semiHidden/>
    <w:unhideWhenUsed/>
    <w:qFormat/>
    <w:rsid w:val="009a6d41"/>
    <w:pPr>
      <w:spacing w:lineRule="auto" w:line="240" w:before="0" w:after="0"/>
      <w:ind w:left="284" w:hanging="284"/>
      <w:jc w:val="both"/>
    </w:pPr>
    <w:rPr>
      <w:rFonts w:ascii="Arial" w:hAnsi="Arial" w:eastAsia="Calibri" w:cs="Arial"/>
      <w:b/>
      <w:bCs/>
      <w:sz w:val="24"/>
      <w:szCs w:val="24"/>
      <w:lang w:eastAsia="pl-PL"/>
    </w:rPr>
  </w:style>
  <w:style w:type="paragraph" w:styleId="Annotationsubject">
    <w:name w:val="annotation subject"/>
    <w:basedOn w:val="Annotationtext"/>
    <w:next w:val="Annotationtext"/>
    <w:link w:val="TematkomentarzaZnak"/>
    <w:semiHidden/>
    <w:unhideWhenUsed/>
    <w:qFormat/>
    <w:rsid w:val="009a6d41"/>
    <w:pPr/>
    <w:rPr>
      <w:b/>
      <w:bCs/>
    </w:rPr>
  </w:style>
  <w:style w:type="paragraph" w:styleId="BalloonText">
    <w:name w:val="Balloon Text"/>
    <w:basedOn w:val="Normal"/>
    <w:link w:val="TekstdymkaZnak"/>
    <w:semiHidden/>
    <w:unhideWhenUsed/>
    <w:qFormat/>
    <w:rsid w:val="009a6d41"/>
    <w:pPr>
      <w:spacing w:lineRule="auto" w:line="240" w:before="0" w:after="0"/>
    </w:pPr>
    <w:rPr>
      <w:rFonts w:ascii="Tahoma" w:hAnsi="Tahoma" w:eastAsia="Times New Roman" w:cs="Times New Roman"/>
      <w:sz w:val="16"/>
      <w:szCs w:val="16"/>
      <w:lang w:eastAsia="pl-PL"/>
    </w:rPr>
  </w:style>
  <w:style w:type="paragraph" w:styleId="Revision">
    <w:name w:val="Revision"/>
    <w:uiPriority w:val="99"/>
    <w:semiHidden/>
    <w:qFormat/>
    <w:rsid w:val="009a6d41"/>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link w:val="AkapitzlistZnak"/>
    <w:uiPriority w:val="34"/>
    <w:qFormat/>
    <w:rsid w:val="009a6d41"/>
    <w:pPr>
      <w:spacing w:lineRule="auto" w:line="240" w:before="0" w:after="0"/>
      <w:ind w:left="708" w:hanging="0"/>
    </w:pPr>
    <w:rPr>
      <w:rFonts w:ascii="Times New Roman" w:hAnsi="Times New Roman" w:eastAsia="Times New Roman" w:cs="Times New Roman"/>
      <w:sz w:val="24"/>
      <w:szCs w:val="24"/>
      <w:lang w:eastAsia="pl-PL"/>
    </w:rPr>
  </w:style>
  <w:style w:type="paragraph" w:styleId="Nagwek11" w:customStyle="1">
    <w:name w:val="Nagłówek1"/>
    <w:basedOn w:val="Normal"/>
    <w:next w:val="Tretekstu"/>
    <w:qFormat/>
    <w:rsid w:val="009a6d41"/>
    <w:pPr>
      <w:keepNext w:val="true"/>
      <w:spacing w:lineRule="auto" w:line="276" w:before="240" w:after="120"/>
    </w:pPr>
    <w:rPr>
      <w:rFonts w:ascii="Arial" w:hAnsi="Arial" w:eastAsia="Lucida Sans Unicode" w:cs="Tahoma"/>
      <w:kern w:val="2"/>
      <w:sz w:val="28"/>
      <w:szCs w:val="28"/>
      <w:lang w:eastAsia="ar-SA"/>
    </w:rPr>
  </w:style>
  <w:style w:type="paragraph" w:styleId="Skrconyadreszwrotny" w:customStyle="1">
    <w:name w:val="Skrócony adres zwrotny"/>
    <w:basedOn w:val="Normal"/>
    <w:qFormat/>
    <w:rsid w:val="009a6d41"/>
    <w:pPr>
      <w:spacing w:lineRule="auto" w:line="240" w:before="0" w:after="0"/>
    </w:pPr>
    <w:rPr>
      <w:rFonts w:ascii="Times New Roman" w:hAnsi="Times New Roman" w:eastAsia="Times New Roman" w:cs="Times New Roman"/>
      <w:sz w:val="20"/>
      <w:szCs w:val="20"/>
      <w:lang w:eastAsia="pl-PL"/>
    </w:rPr>
  </w:style>
  <w:style w:type="paragraph" w:styleId="WierszPP" w:customStyle="1">
    <w:name w:val="Wiersz PP"/>
    <w:basedOn w:val="Sygnatura"/>
    <w:qFormat/>
    <w:rsid w:val="009a6d41"/>
    <w:pPr/>
    <w:rPr>
      <w:sz w:val="20"/>
      <w:szCs w:val="20"/>
    </w:rPr>
  </w:style>
  <w:style w:type="paragraph" w:styleId="Bodytext21" w:customStyle="1">
    <w:name w:val="Body text (2)1"/>
    <w:basedOn w:val="Normal"/>
    <w:link w:val="Bodytext2"/>
    <w:qFormat/>
    <w:rsid w:val="009a6d41"/>
    <w:pPr>
      <w:shd w:val="clear" w:color="auto" w:fill="FFFFFF"/>
      <w:spacing w:lineRule="atLeast" w:line="240" w:before="0" w:after="900"/>
      <w:ind w:hanging="700"/>
      <w:jc w:val="center"/>
    </w:pPr>
    <w:rPr>
      <w:rFonts w:ascii="Arial" w:hAnsi="Arial" w:cs="Arial"/>
      <w:b/>
      <w:bCs/>
    </w:rPr>
  </w:style>
  <w:style w:type="paragraph" w:styleId="Heading311" w:customStyle="1">
    <w:name w:val="Heading #31"/>
    <w:basedOn w:val="Normal"/>
    <w:qFormat/>
    <w:rsid w:val="009a6d41"/>
    <w:pPr>
      <w:shd w:val="clear" w:color="auto" w:fill="FFFFFF"/>
      <w:spacing w:lineRule="atLeast" w:line="240" w:before="0" w:after="180"/>
      <w:ind w:hanging="720"/>
      <w:outlineLvl w:val="2"/>
    </w:pPr>
    <w:rPr>
      <w:rFonts w:ascii="Arial" w:hAnsi="Arial" w:eastAsia="Calibri" w:cs="Calibri"/>
      <w:b/>
      <w:bCs/>
    </w:rPr>
  </w:style>
  <w:style w:type="paragraph" w:styleId="Standard" w:customStyle="1">
    <w:name w:val="Standard"/>
    <w:qFormat/>
    <w:rsid w:val="009a6d41"/>
    <w:pPr>
      <w:widowControl/>
      <w:suppressAutoHyphens w:val="true"/>
      <w:bidi w:val="0"/>
      <w:spacing w:before="0" w:after="0"/>
      <w:jc w:val="left"/>
    </w:pPr>
    <w:rPr>
      <w:rFonts w:ascii="Times New Roman" w:hAnsi="Times New Roman" w:eastAsia="Times New Roman" w:cs="Times New Roman"/>
      <w:color w:val="auto"/>
      <w:kern w:val="2"/>
      <w:sz w:val="20"/>
      <w:szCs w:val="20"/>
      <w:lang w:val="pl-PL" w:eastAsia="pl-PL" w:bidi="ar-SA"/>
    </w:rPr>
  </w:style>
  <w:style w:type="paragraph" w:styleId="Textbody" w:customStyle="1">
    <w:name w:val="Text body"/>
    <w:basedOn w:val="Standard"/>
    <w:qFormat/>
    <w:rsid w:val="009a6d41"/>
    <w:pPr>
      <w:spacing w:before="0" w:after="120"/>
      <w:jc w:val="both"/>
    </w:pPr>
    <w:rPr>
      <w:sz w:val="24"/>
      <w:szCs w:val="24"/>
      <w:lang w:eastAsia="ar-SA"/>
    </w:rPr>
  </w:style>
  <w:style w:type="paragraph" w:styleId="Kasia" w:customStyle="1">
    <w:name w:val="kasia"/>
    <w:basedOn w:val="Normal"/>
    <w:uiPriority w:val="99"/>
    <w:qFormat/>
    <w:rsid w:val="009a6d41"/>
    <w:pPr>
      <w:spacing w:lineRule="auto" w:line="252" w:before="0" w:after="0"/>
      <w:jc w:val="center"/>
    </w:pPr>
    <w:rPr>
      <w:rFonts w:ascii="Arial" w:hAnsi="Arial" w:eastAsia="Calibri" w:cs="Arial"/>
      <w:b/>
      <w:i/>
      <w:sz w:val="24"/>
      <w:u w:val="single"/>
    </w:rPr>
  </w:style>
  <w:style w:type="paragraph" w:styleId="Pkt" w:customStyle="1">
    <w:name w:val="pkt"/>
    <w:basedOn w:val="Normal"/>
    <w:uiPriority w:val="99"/>
    <w:qFormat/>
    <w:rsid w:val="009a6d41"/>
    <w:pPr>
      <w:spacing w:lineRule="auto" w:line="252" w:before="60" w:after="60"/>
      <w:ind w:left="851" w:hanging="295"/>
      <w:jc w:val="both"/>
    </w:pPr>
    <w:rPr>
      <w:rFonts w:ascii="Calibri" w:hAnsi="Calibri" w:eastAsia="Calibri" w:cs="Calibri"/>
      <w:sz w:val="24"/>
    </w:rPr>
  </w:style>
  <w:style w:type="paragraph" w:styleId="Textjustify" w:customStyle="1">
    <w:name w:val="text-justify"/>
    <w:basedOn w:val="Normal"/>
    <w:qFormat/>
    <w:rsid w:val="009a6d41"/>
    <w:pPr>
      <w:spacing w:lineRule="auto" w:line="240" w:beforeAutospacing="1" w:afterAutospacing="1"/>
    </w:pPr>
    <w:rPr>
      <w:rFonts w:ascii="Times New Roman" w:hAnsi="Times New Roman" w:eastAsia="Times New Roman" w:cs="Times New Roman"/>
      <w:sz w:val="24"/>
      <w:szCs w:val="24"/>
      <w:lang w:eastAsia="pl-PL"/>
    </w:rPr>
  </w:style>
  <w:style w:type="paragraph" w:styleId="BodyText211" w:customStyle="1">
    <w:name w:val="Body Text 21"/>
    <w:basedOn w:val="Normal"/>
    <w:qFormat/>
    <w:rsid w:val="009a6d41"/>
    <w:pPr>
      <w:tabs>
        <w:tab w:val="clear" w:pos="708"/>
        <w:tab w:val="left" w:pos="0" w:leader="none"/>
      </w:tabs>
      <w:spacing w:lineRule="auto" w:line="240" w:before="0" w:after="0"/>
      <w:jc w:val="both"/>
    </w:pPr>
    <w:rPr>
      <w:rFonts w:ascii="Times New Roman" w:hAnsi="Times New Roman" w:eastAsia="Times New Roman" w:cs="Times New Roman"/>
      <w:sz w:val="24"/>
      <w:szCs w:val="20"/>
      <w:lang w:eastAsia="pl-PL"/>
    </w:rPr>
  </w:style>
  <w:style w:type="paragraph" w:styleId="Konspn" w:customStyle="1">
    <w:name w:val="Konspn"/>
    <w:basedOn w:val="Normal"/>
    <w:uiPriority w:val="99"/>
    <w:qFormat/>
    <w:rsid w:val="009a6d41"/>
    <w:pPr>
      <w:spacing w:lineRule="auto" w:line="360" w:before="0" w:after="0"/>
      <w:jc w:val="both"/>
    </w:pPr>
    <w:rPr>
      <w:rFonts w:ascii="Times New Roman" w:hAnsi="Times New Roman" w:eastAsia="Times New Roman" w:cs="Times New Roman"/>
      <w:sz w:val="24"/>
      <w:szCs w:val="24"/>
      <w:lang w:eastAsia="ar-SA"/>
    </w:rPr>
  </w:style>
  <w:style w:type="paragraph" w:styleId="Western" w:customStyle="1">
    <w:name w:val="western"/>
    <w:basedOn w:val="Normal"/>
    <w:qFormat/>
    <w:rsid w:val="009a6d41"/>
    <w:pPr>
      <w:spacing w:lineRule="auto" w:line="240" w:beforeAutospacing="1" w:afterAutospacing="1"/>
      <w:jc w:val="both"/>
    </w:pPr>
    <w:rPr>
      <w:rFonts w:ascii="Times New Roman" w:hAnsi="Times New Roman" w:eastAsia="Times New Roman" w:cs="Times New Roman"/>
      <w:sz w:val="24"/>
      <w:szCs w:val="24"/>
      <w:lang w:eastAsia="pl-PL"/>
    </w:rPr>
  </w:style>
  <w:style w:type="paragraph" w:styleId="Akapitzlist1" w:customStyle="1">
    <w:name w:val="Akapit z listą1"/>
    <w:basedOn w:val="Normal"/>
    <w:qFormat/>
    <w:rsid w:val="009a6d41"/>
    <w:pPr>
      <w:spacing w:lineRule="auto" w:line="276" w:before="0" w:after="200"/>
      <w:ind w:left="720" w:hanging="0"/>
    </w:pPr>
    <w:rPr>
      <w:rFonts w:ascii="Calibri" w:hAnsi="Calibri" w:eastAsia="Calibri" w:cs="Calibri"/>
      <w:lang w:eastAsia="ar-SA"/>
    </w:rPr>
  </w:style>
  <w:style w:type="paragraph" w:styleId="Nagwek111" w:customStyle="1">
    <w:name w:val="Nagłówek 11"/>
    <w:basedOn w:val="Normal"/>
    <w:next w:val="Tretekstu"/>
    <w:qFormat/>
    <w:rsid w:val="009a6d41"/>
    <w:pPr>
      <w:keepNext w:val="true"/>
      <w:spacing w:lineRule="auto" w:line="276" w:before="0" w:after="0"/>
      <w:ind w:firstLine="709"/>
      <w:jc w:val="both"/>
      <w:outlineLvl w:val="0"/>
    </w:pPr>
    <w:rPr>
      <w:rFonts w:ascii="Calibri" w:hAnsi="Calibri" w:eastAsia="Times New Roman" w:cs="Times New Roman"/>
      <w:b/>
      <w:kern w:val="2"/>
      <w:sz w:val="28"/>
      <w:szCs w:val="28"/>
      <w:lang w:eastAsia="ar-SA"/>
    </w:rPr>
  </w:style>
  <w:style w:type="paragraph" w:styleId="Nagwek21" w:customStyle="1">
    <w:name w:val="Nagłówek 21"/>
    <w:basedOn w:val="Normal"/>
    <w:next w:val="Tretekstu"/>
    <w:qFormat/>
    <w:rsid w:val="009a6d41"/>
    <w:pPr>
      <w:keepNext w:val="true"/>
      <w:tabs>
        <w:tab w:val="clear" w:pos="708"/>
        <w:tab w:val="left" w:pos="0" w:leader="none"/>
      </w:tabs>
      <w:spacing w:lineRule="auto" w:line="276" w:before="0" w:after="0"/>
      <w:ind w:left="709" w:hanging="0"/>
      <w:jc w:val="both"/>
      <w:outlineLvl w:val="1"/>
    </w:pPr>
    <w:rPr>
      <w:rFonts w:ascii="Calibri" w:hAnsi="Calibri" w:eastAsia="Times New Roman" w:cs="Times New Roman"/>
      <w:bCs/>
      <w:kern w:val="2"/>
      <w:sz w:val="28"/>
      <w:szCs w:val="28"/>
      <w:lang w:eastAsia="ar-SA"/>
    </w:rPr>
  </w:style>
  <w:style w:type="paragraph" w:styleId="Nagwek31" w:customStyle="1">
    <w:name w:val="Nagłówek 31"/>
    <w:basedOn w:val="Normal"/>
    <w:next w:val="Tretekstu"/>
    <w:qFormat/>
    <w:rsid w:val="009a6d41"/>
    <w:pPr>
      <w:keepNext w:val="true"/>
      <w:spacing w:lineRule="atLeast" w:line="100" w:before="240" w:after="0"/>
      <w:jc w:val="both"/>
      <w:outlineLvl w:val="2"/>
    </w:pPr>
    <w:rPr>
      <w:rFonts w:ascii="Marigold (W1)" w:hAnsi="Marigold (W1)" w:eastAsia="Marigold (W1)" w:cs="Times New Roman"/>
      <w:b/>
      <w:kern w:val="2"/>
      <w:sz w:val="24"/>
      <w:szCs w:val="20"/>
      <w:lang w:eastAsia="ar-SA"/>
    </w:rPr>
  </w:style>
  <w:style w:type="paragraph" w:styleId="Nagwek41" w:customStyle="1">
    <w:name w:val="Nagłówek 41"/>
    <w:basedOn w:val="Normal"/>
    <w:next w:val="Tretekstu"/>
    <w:qFormat/>
    <w:rsid w:val="009a6d41"/>
    <w:pPr>
      <w:keepNext w:val="true"/>
      <w:spacing w:lineRule="auto" w:line="276" w:before="240" w:after="60"/>
      <w:outlineLvl w:val="3"/>
    </w:pPr>
    <w:rPr>
      <w:rFonts w:ascii="Calibri" w:hAnsi="Calibri" w:eastAsia="Times New Roman" w:cs="Times New Roman"/>
      <w:b/>
      <w:bCs/>
      <w:kern w:val="2"/>
      <w:sz w:val="28"/>
      <w:szCs w:val="28"/>
      <w:lang w:eastAsia="ar-SA"/>
    </w:rPr>
  </w:style>
  <w:style w:type="paragraph" w:styleId="Normalny2" w:customStyle="1">
    <w:name w:val="Normalny2"/>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val="pl-PL" w:eastAsia="ar-SA" w:bidi="ar-SA"/>
    </w:rPr>
  </w:style>
  <w:style w:type="paragraph" w:styleId="Podpis1" w:customStyle="1">
    <w:name w:val="Podpis1"/>
    <w:basedOn w:val="Normal"/>
    <w:qFormat/>
    <w:rsid w:val="009a6d41"/>
    <w:pPr>
      <w:suppressLineNumbers/>
      <w:spacing w:lineRule="atLeast" w:line="100" w:before="120" w:after="120"/>
    </w:pPr>
    <w:rPr>
      <w:rFonts w:ascii="Marigold (W1)" w:hAnsi="Marigold (W1)" w:eastAsia="Marigold (W1)" w:cs="Times New Roman"/>
      <w:i/>
      <w:iCs/>
      <w:kern w:val="2"/>
      <w:sz w:val="24"/>
      <w:szCs w:val="24"/>
      <w:lang w:eastAsia="ar-SA"/>
    </w:rPr>
  </w:style>
  <w:style w:type="paragraph" w:styleId="Normalny1" w:customStyle="1">
    <w:name w:val="Normalny1"/>
    <w:basedOn w:val="Normal"/>
    <w:qFormat/>
    <w:rsid w:val="009a6d41"/>
    <w:pPr>
      <w:spacing w:lineRule="auto" w:line="276" w:before="0" w:after="200"/>
    </w:pPr>
    <w:rPr>
      <w:rFonts w:ascii="Calibri" w:hAnsi="Calibri" w:eastAsia="Times New Roman" w:cs="Times New Roman"/>
      <w:kern w:val="2"/>
      <w:lang w:eastAsia="ar-SA"/>
    </w:rPr>
  </w:style>
  <w:style w:type="paragraph" w:styleId="Styl" w:customStyle="1">
    <w:name w:val="Styl"/>
    <w:basedOn w:val="Normalny1"/>
    <w:qFormat/>
    <w:rsid w:val="009a6d41"/>
    <w:pPr/>
    <w:rPr/>
  </w:style>
  <w:style w:type="paragraph" w:styleId="Zawartotabeli" w:customStyle="1">
    <w:name w:val="Zawartość tabeli"/>
    <w:basedOn w:val="Tretekstu"/>
    <w:qFormat/>
    <w:rsid w:val="009a6d41"/>
    <w:pPr>
      <w:suppressLineNumbers/>
      <w:spacing w:lineRule="auto" w:line="276"/>
    </w:pPr>
    <w:rPr>
      <w:rFonts w:ascii="Calibri" w:hAnsi="Calibri"/>
      <w:kern w:val="2"/>
      <w:sz w:val="22"/>
      <w:szCs w:val="22"/>
      <w:lang w:eastAsia="ar-SA"/>
    </w:rPr>
  </w:style>
  <w:style w:type="paragraph" w:styleId="Adresnakopercie1" w:customStyle="1">
    <w:name w:val="Adres na kopercie1"/>
    <w:basedOn w:val="Normal"/>
    <w:qFormat/>
    <w:rsid w:val="009a6d41"/>
    <w:pPr>
      <w:spacing w:lineRule="auto" w:line="276" w:before="0" w:after="200"/>
    </w:pPr>
    <w:rPr>
      <w:rFonts w:ascii="Calibri" w:hAnsi="Calibri" w:eastAsia="Times New Roman" w:cs="Times New Roman"/>
      <w:kern w:val="2"/>
      <w:lang w:eastAsia="ar-SA"/>
    </w:rPr>
  </w:style>
  <w:style w:type="paragraph" w:styleId="Tytutabeli" w:customStyle="1">
    <w:name w:val="Tytuł tabeli"/>
    <w:basedOn w:val="Zawartotabeli"/>
    <w:qFormat/>
    <w:rsid w:val="009a6d41"/>
    <w:pPr/>
    <w:rPr/>
  </w:style>
  <w:style w:type="paragraph" w:styleId="Zwrotgrzecznociowy1" w:customStyle="1">
    <w:name w:val="Zwrot grzecznościowy1"/>
    <w:basedOn w:val="Normal"/>
    <w:qFormat/>
    <w:rsid w:val="009a6d41"/>
    <w:pPr>
      <w:spacing w:lineRule="auto" w:line="276" w:before="0" w:after="200"/>
    </w:pPr>
    <w:rPr>
      <w:rFonts w:ascii="Calibri" w:hAnsi="Calibri" w:eastAsia="Times New Roman" w:cs="Times New Roman"/>
      <w:kern w:val="2"/>
      <w:lang w:eastAsia="ar-SA"/>
    </w:rPr>
  </w:style>
  <w:style w:type="paragraph" w:styleId="Etykieta" w:customStyle="1">
    <w:name w:val="Etykieta"/>
    <w:basedOn w:val="Normal"/>
    <w:qFormat/>
    <w:rsid w:val="009a6d41"/>
    <w:pPr>
      <w:spacing w:lineRule="auto" w:line="276" w:before="0" w:after="200"/>
    </w:pPr>
    <w:rPr>
      <w:rFonts w:ascii="Calibri" w:hAnsi="Calibri" w:eastAsia="Times New Roman" w:cs="Times New Roman"/>
      <w:kern w:val="2"/>
      <w:lang w:eastAsia="ar-SA"/>
    </w:rPr>
  </w:style>
  <w:style w:type="paragraph" w:styleId="Legenda1" w:customStyle="1">
    <w:name w:val="Legenda1"/>
    <w:basedOn w:val="Standard"/>
    <w:qFormat/>
    <w:rsid w:val="009a6d41"/>
    <w:pPr>
      <w:suppressLineNumbers/>
      <w:suppressAutoHyphens w:val="false"/>
      <w:spacing w:before="120" w:after="120"/>
    </w:pPr>
    <w:rPr>
      <w:i/>
      <w:iCs/>
      <w:kern w:val="0"/>
    </w:rPr>
  </w:style>
  <w:style w:type="paragraph" w:styleId="Ilustracja" w:customStyle="1">
    <w:name w:val="Ilustracja"/>
    <w:basedOn w:val="Etykieta"/>
    <w:qFormat/>
    <w:rsid w:val="009a6d41"/>
    <w:pPr/>
    <w:rPr/>
  </w:style>
  <w:style w:type="paragraph" w:styleId="Fot2" w:customStyle="1">
    <w:name w:val="Fot. 2"/>
    <w:basedOn w:val="Etykieta"/>
    <w:qFormat/>
    <w:rsid w:val="009a6d41"/>
    <w:pPr/>
    <w:rPr/>
  </w:style>
  <w:style w:type="paragraph" w:styleId="Fot3" w:customStyle="1">
    <w:name w:val="Fot. 3"/>
    <w:basedOn w:val="Etykieta"/>
    <w:qFormat/>
    <w:rsid w:val="009a6d41"/>
    <w:pPr/>
    <w:rPr/>
  </w:style>
  <w:style w:type="paragraph" w:styleId="Fot4" w:customStyle="1">
    <w:name w:val="Fot. 4"/>
    <w:basedOn w:val="Etykieta"/>
    <w:qFormat/>
    <w:rsid w:val="009a6d41"/>
    <w:pPr/>
    <w:rPr/>
  </w:style>
  <w:style w:type="paragraph" w:styleId="Fot1" w:customStyle="1">
    <w:name w:val="Fot. 1"/>
    <w:basedOn w:val="Etykieta"/>
    <w:qFormat/>
    <w:rsid w:val="009a6d41"/>
    <w:pPr/>
    <w:rPr/>
  </w:style>
  <w:style w:type="paragraph" w:styleId="Fot5" w:customStyle="1">
    <w:name w:val="Fot. 5"/>
    <w:basedOn w:val="Etykieta"/>
    <w:qFormat/>
    <w:rsid w:val="009a6d41"/>
    <w:pPr/>
    <w:rPr/>
  </w:style>
  <w:style w:type="paragraph" w:styleId="Fot11" w:customStyle="1">
    <w:name w:val="Fot.1"/>
    <w:basedOn w:val="Etykieta"/>
    <w:qFormat/>
    <w:rsid w:val="009a6d41"/>
    <w:pPr/>
    <w:rPr/>
  </w:style>
  <w:style w:type="paragraph" w:styleId="Fot51" w:customStyle="1">
    <w:name w:val="Fot.5"/>
    <w:basedOn w:val="Etykieta"/>
    <w:qFormat/>
    <w:rsid w:val="009a6d41"/>
    <w:pPr/>
    <w:rPr/>
  </w:style>
  <w:style w:type="paragraph" w:styleId="Stopka1" w:customStyle="1">
    <w:name w:val="Stopka1"/>
    <w:basedOn w:val="Normalny2"/>
    <w:qFormat/>
    <w:rsid w:val="009a6d41"/>
    <w:pPr>
      <w:tabs>
        <w:tab w:val="clear" w:pos="708"/>
        <w:tab w:val="center" w:pos="4536" w:leader="none"/>
        <w:tab w:val="right" w:pos="9072" w:leader="none"/>
      </w:tabs>
    </w:pPr>
    <w:rPr/>
  </w:style>
  <w:style w:type="paragraph" w:styleId="Fot6" w:customStyle="1">
    <w:name w:val="Fot.6"/>
    <w:basedOn w:val="Etykieta"/>
    <w:qFormat/>
    <w:rsid w:val="009a6d41"/>
    <w:pPr/>
    <w:rPr/>
  </w:style>
  <w:style w:type="paragraph" w:styleId="WWTekstpodstawowy3" w:customStyle="1">
    <w:name w:val="WW-Tekst podstawowy 3"/>
    <w:basedOn w:val="Normal"/>
    <w:qFormat/>
    <w:rsid w:val="009a6d41"/>
    <w:pPr>
      <w:spacing w:lineRule="auto" w:line="276" w:before="0" w:after="200"/>
    </w:pPr>
    <w:rPr>
      <w:rFonts w:ascii="Calibri" w:hAnsi="Calibri" w:eastAsia="Times New Roman" w:cs="Times New Roman"/>
      <w:kern w:val="2"/>
      <w:lang w:eastAsia="ar-SA"/>
    </w:rPr>
  </w:style>
  <w:style w:type="paragraph" w:styleId="WWDomylnie" w:customStyle="1">
    <w:name w:val="WW-Domyślnie"/>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val="pl-PL" w:eastAsia="ar-SA" w:bidi="ar-SA"/>
    </w:rPr>
  </w:style>
  <w:style w:type="paragraph" w:styleId="Tytu1" w:customStyle="1">
    <w:name w:val="Tytuł 1"/>
    <w:basedOn w:val="WWDomylnie"/>
    <w:qFormat/>
    <w:rsid w:val="009a6d41"/>
    <w:pPr/>
    <w:rPr/>
  </w:style>
  <w:style w:type="paragraph" w:styleId="Obszartekstu" w:customStyle="1">
    <w:name w:val="Obszar tekstu"/>
    <w:basedOn w:val="WWDomylnie"/>
    <w:qFormat/>
    <w:rsid w:val="009a6d41"/>
    <w:pPr/>
    <w:rPr/>
  </w:style>
  <w:style w:type="paragraph" w:styleId="Tekstpodstawowywcity21" w:customStyle="1">
    <w:name w:val="Tekst podstawowy wcięt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31" w:customStyle="1">
    <w:name w:val="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21" w:customStyle="1">
    <w:name w:val="Tekst podstawow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wcity31" w:customStyle="1">
    <w:name w:val="Tekst podstawowy wcięty 31"/>
    <w:basedOn w:val="Normal"/>
    <w:qFormat/>
    <w:rsid w:val="009a6d41"/>
    <w:pPr>
      <w:spacing w:lineRule="auto" w:line="276" w:before="0" w:after="200"/>
    </w:pPr>
    <w:rPr>
      <w:rFonts w:ascii="Calibri" w:hAnsi="Calibri" w:eastAsia="Times New Roman" w:cs="Times New Roman"/>
      <w:kern w:val="2"/>
      <w:lang w:eastAsia="ar-SA"/>
    </w:rPr>
  </w:style>
  <w:style w:type="paragraph" w:styleId="Nagwektabeli" w:customStyle="1">
    <w:name w:val="Nagłówek tabeli"/>
    <w:basedOn w:val="Zawartotabeli"/>
    <w:qFormat/>
    <w:rsid w:val="009a6d41"/>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rsid w:val="009a6d41"/>
    <w:pPr>
      <w:spacing w:lineRule="atLeast" w:line="100"/>
    </w:pPr>
    <w:rPr>
      <w:rFonts w:ascii="Marigold (W1)" w:hAnsi="Marigold (W1)" w:eastAsia="Marigold (W1)"/>
      <w:kern w:val="2"/>
      <w:szCs w:val="20"/>
      <w:lang w:eastAsia="ar-SA"/>
    </w:rPr>
  </w:style>
  <w:style w:type="paragraph" w:styleId="WWDomylnie1" w:customStyle="1">
    <w:name w:val="WW-Domyślnie1"/>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val="pl-PL" w:eastAsia="ar-SA" w:bidi="ar-SA"/>
    </w:rPr>
  </w:style>
  <w:style w:type="paragraph" w:styleId="WWTekstpodstawowy31" w:customStyle="1">
    <w:name w:val="WW-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Default" w:customStyle="1">
    <w:name w:val="Default"/>
    <w:basedOn w:val="Normal"/>
    <w:qFormat/>
    <w:rsid w:val="009a6d41"/>
    <w:pPr>
      <w:spacing w:lineRule="auto" w:line="276" w:before="0" w:after="200"/>
    </w:pPr>
    <w:rPr>
      <w:rFonts w:ascii="Calibri" w:hAnsi="Calibri" w:eastAsia="Times New Roman" w:cs="Times New Roman"/>
      <w:kern w:val="2"/>
      <w:lang w:eastAsia="ar-SA"/>
    </w:rPr>
  </w:style>
  <w:style w:type="paragraph" w:styleId="Ust" w:customStyle="1">
    <w:name w:val="ust"/>
    <w:basedOn w:val="Default"/>
    <w:qFormat/>
    <w:rsid w:val="009a6d41"/>
    <w:pPr/>
    <w:rPr/>
  </w:style>
  <w:style w:type="paragraph" w:styleId="WWTekstpodstawowy2" w:customStyle="1">
    <w:name w:val="WW-Tekst podstawowy 2"/>
    <w:basedOn w:val="Normal"/>
    <w:qFormat/>
    <w:rsid w:val="009a6d41"/>
    <w:pPr>
      <w:spacing w:lineRule="auto" w:line="276" w:before="0" w:after="200"/>
    </w:pPr>
    <w:rPr>
      <w:rFonts w:ascii="Calibri" w:hAnsi="Calibri" w:eastAsia="Times New Roman" w:cs="Times New Roman"/>
      <w:kern w:val="2"/>
      <w:lang w:eastAsia="ar-SA"/>
    </w:rPr>
  </w:style>
  <w:style w:type="paragraph" w:styleId="WWTekstpodstawowy312" w:customStyle="1">
    <w:name w:val="WW-Tekst podstawowy 312"/>
    <w:basedOn w:val="Normal"/>
    <w:qFormat/>
    <w:rsid w:val="009a6d41"/>
    <w:pPr>
      <w:spacing w:lineRule="auto" w:line="276" w:before="0" w:after="200"/>
    </w:pPr>
    <w:rPr>
      <w:rFonts w:ascii="Calibri" w:hAnsi="Calibri" w:eastAsia="Times New Roman" w:cs="Times New Roman"/>
      <w:kern w:val="2"/>
      <w:lang w:eastAsia="ar-SA"/>
    </w:rPr>
  </w:style>
  <w:style w:type="paragraph" w:styleId="Logo" w:customStyle="1">
    <w:name w:val="Logo"/>
    <w:basedOn w:val="Normal"/>
    <w:qFormat/>
    <w:rsid w:val="009a6d41"/>
    <w:pPr>
      <w:spacing w:lineRule="auto" w:line="276" w:before="0" w:after="200"/>
    </w:pPr>
    <w:rPr>
      <w:rFonts w:ascii="Calibri" w:hAnsi="Calibri" w:eastAsia="Times New Roman" w:cs="Times New Roman"/>
      <w:kern w:val="2"/>
      <w:lang w:eastAsia="ar-SA"/>
    </w:rPr>
  </w:style>
  <w:style w:type="paragraph" w:styleId="Xl24" w:customStyle="1">
    <w:name w:val="xl24"/>
    <w:basedOn w:val="Normal"/>
    <w:qFormat/>
    <w:rsid w:val="009a6d41"/>
    <w:pPr>
      <w:spacing w:lineRule="auto" w:line="276" w:before="0" w:after="200"/>
    </w:pPr>
    <w:rPr>
      <w:rFonts w:ascii="Calibri" w:hAnsi="Calibri" w:eastAsia="Times New Roman" w:cs="Times New Roman"/>
      <w:kern w:val="2"/>
      <w:lang w:eastAsia="ar-SA"/>
    </w:rPr>
  </w:style>
  <w:style w:type="paragraph" w:styleId="Xl25" w:customStyle="1">
    <w:name w:val="xl25"/>
    <w:basedOn w:val="Normal"/>
    <w:qFormat/>
    <w:rsid w:val="009a6d41"/>
    <w:pPr>
      <w:spacing w:lineRule="auto" w:line="276" w:before="0" w:after="200"/>
    </w:pPr>
    <w:rPr>
      <w:rFonts w:ascii="Calibri" w:hAnsi="Calibri" w:eastAsia="Times New Roman" w:cs="Times New Roman"/>
      <w:kern w:val="2"/>
      <w:lang w:eastAsia="ar-SA"/>
    </w:rPr>
  </w:style>
  <w:style w:type="paragraph" w:styleId="Xl26" w:customStyle="1">
    <w:name w:val="xl26"/>
    <w:basedOn w:val="Normal"/>
    <w:qFormat/>
    <w:rsid w:val="009a6d41"/>
    <w:pPr>
      <w:spacing w:lineRule="auto" w:line="276" w:before="0" w:after="200"/>
    </w:pPr>
    <w:rPr>
      <w:rFonts w:ascii="Calibri" w:hAnsi="Calibri" w:eastAsia="Times New Roman" w:cs="Times New Roman"/>
      <w:kern w:val="2"/>
      <w:lang w:eastAsia="ar-SA"/>
    </w:rPr>
  </w:style>
  <w:style w:type="paragraph" w:styleId="Xl27" w:customStyle="1">
    <w:name w:val="xl27"/>
    <w:basedOn w:val="Normal"/>
    <w:qFormat/>
    <w:rsid w:val="009a6d41"/>
    <w:pPr>
      <w:spacing w:lineRule="auto" w:line="276" w:before="0" w:after="200"/>
    </w:pPr>
    <w:rPr>
      <w:rFonts w:ascii="Calibri" w:hAnsi="Calibri" w:eastAsia="Times New Roman" w:cs="Times New Roman"/>
      <w:kern w:val="2"/>
      <w:lang w:eastAsia="ar-SA"/>
    </w:rPr>
  </w:style>
  <w:style w:type="paragraph" w:styleId="Xl28" w:customStyle="1">
    <w:name w:val="xl28"/>
    <w:basedOn w:val="Normal"/>
    <w:qFormat/>
    <w:rsid w:val="009a6d41"/>
    <w:pPr>
      <w:spacing w:lineRule="auto" w:line="276" w:before="0" w:after="200"/>
    </w:pPr>
    <w:rPr>
      <w:rFonts w:ascii="Calibri" w:hAnsi="Calibri" w:eastAsia="Times New Roman" w:cs="Times New Roman"/>
      <w:kern w:val="2"/>
      <w:lang w:eastAsia="ar-SA"/>
    </w:rPr>
  </w:style>
  <w:style w:type="paragraph" w:styleId="Xl29" w:customStyle="1">
    <w:name w:val="xl29"/>
    <w:basedOn w:val="Normal"/>
    <w:qFormat/>
    <w:rsid w:val="009a6d41"/>
    <w:pPr>
      <w:spacing w:lineRule="auto" w:line="276" w:before="0" w:after="200"/>
    </w:pPr>
    <w:rPr>
      <w:rFonts w:ascii="Calibri" w:hAnsi="Calibri" w:eastAsia="Times New Roman" w:cs="Times New Roman"/>
      <w:kern w:val="2"/>
      <w:lang w:eastAsia="ar-SA"/>
    </w:rPr>
  </w:style>
  <w:style w:type="paragraph" w:styleId="Xl30" w:customStyle="1">
    <w:name w:val="xl30"/>
    <w:basedOn w:val="Normal"/>
    <w:qFormat/>
    <w:rsid w:val="009a6d41"/>
    <w:pPr>
      <w:spacing w:lineRule="auto" w:line="276" w:before="0" w:after="200"/>
    </w:pPr>
    <w:rPr>
      <w:rFonts w:ascii="Calibri" w:hAnsi="Calibri" w:eastAsia="Times New Roman" w:cs="Times New Roman"/>
      <w:kern w:val="2"/>
      <w:lang w:eastAsia="ar-SA"/>
    </w:rPr>
  </w:style>
  <w:style w:type="paragraph" w:styleId="Xl31" w:customStyle="1">
    <w:name w:val="xl31"/>
    <w:basedOn w:val="Normal"/>
    <w:qFormat/>
    <w:rsid w:val="009a6d41"/>
    <w:pPr>
      <w:spacing w:lineRule="auto" w:line="276" w:before="0" w:after="200"/>
    </w:pPr>
    <w:rPr>
      <w:rFonts w:ascii="Calibri" w:hAnsi="Calibri" w:eastAsia="Times New Roman" w:cs="Times New Roman"/>
      <w:kern w:val="2"/>
      <w:lang w:eastAsia="ar-SA"/>
    </w:rPr>
  </w:style>
  <w:style w:type="paragraph" w:styleId="Xl32" w:customStyle="1">
    <w:name w:val="xl32"/>
    <w:basedOn w:val="Normal"/>
    <w:qFormat/>
    <w:rsid w:val="009a6d41"/>
    <w:pPr>
      <w:spacing w:lineRule="auto" w:line="276" w:before="0" w:after="200"/>
    </w:pPr>
    <w:rPr>
      <w:rFonts w:ascii="Calibri" w:hAnsi="Calibri" w:eastAsia="Times New Roman" w:cs="Times New Roman"/>
      <w:kern w:val="2"/>
      <w:lang w:eastAsia="ar-SA"/>
    </w:rPr>
  </w:style>
  <w:style w:type="paragraph" w:styleId="Xl33" w:customStyle="1">
    <w:name w:val="xl33"/>
    <w:basedOn w:val="Normal"/>
    <w:qFormat/>
    <w:rsid w:val="009a6d41"/>
    <w:pPr>
      <w:spacing w:lineRule="auto" w:line="276" w:before="0" w:after="200"/>
    </w:pPr>
    <w:rPr>
      <w:rFonts w:ascii="Calibri" w:hAnsi="Calibri" w:eastAsia="Times New Roman" w:cs="Times New Roman"/>
      <w:kern w:val="2"/>
      <w:lang w:eastAsia="ar-SA"/>
    </w:rPr>
  </w:style>
  <w:style w:type="paragraph" w:styleId="Xl34" w:customStyle="1">
    <w:name w:val="xl34"/>
    <w:basedOn w:val="Normal"/>
    <w:qFormat/>
    <w:rsid w:val="009a6d41"/>
    <w:pPr>
      <w:spacing w:lineRule="auto" w:line="276" w:before="0" w:after="200"/>
    </w:pPr>
    <w:rPr>
      <w:rFonts w:ascii="Calibri" w:hAnsi="Calibri" w:eastAsia="Times New Roman" w:cs="Times New Roman"/>
      <w:kern w:val="2"/>
      <w:lang w:eastAsia="ar-SA"/>
    </w:rPr>
  </w:style>
  <w:style w:type="paragraph" w:styleId="Xl35" w:customStyle="1">
    <w:name w:val="xl35"/>
    <w:basedOn w:val="Normal"/>
    <w:qFormat/>
    <w:rsid w:val="009a6d41"/>
    <w:pPr>
      <w:spacing w:lineRule="auto" w:line="276" w:before="0" w:after="200"/>
    </w:pPr>
    <w:rPr>
      <w:rFonts w:ascii="Calibri" w:hAnsi="Calibri" w:eastAsia="Times New Roman" w:cs="Times New Roman"/>
      <w:kern w:val="2"/>
      <w:lang w:eastAsia="ar-SA"/>
    </w:rPr>
  </w:style>
  <w:style w:type="paragraph" w:styleId="Xl36" w:customStyle="1">
    <w:name w:val="xl36"/>
    <w:basedOn w:val="Normal"/>
    <w:qFormat/>
    <w:rsid w:val="009a6d41"/>
    <w:pPr>
      <w:spacing w:lineRule="auto" w:line="276" w:before="0" w:after="200"/>
    </w:pPr>
    <w:rPr>
      <w:rFonts w:ascii="Calibri" w:hAnsi="Calibri" w:eastAsia="Times New Roman" w:cs="Times New Roman"/>
      <w:kern w:val="2"/>
      <w:lang w:eastAsia="ar-SA"/>
    </w:rPr>
  </w:style>
  <w:style w:type="paragraph" w:styleId="Xl37" w:customStyle="1">
    <w:name w:val="xl37"/>
    <w:basedOn w:val="Normal"/>
    <w:qFormat/>
    <w:rsid w:val="009a6d41"/>
    <w:pPr>
      <w:spacing w:lineRule="auto" w:line="276" w:before="0" w:after="200"/>
    </w:pPr>
    <w:rPr>
      <w:rFonts w:ascii="Calibri" w:hAnsi="Calibri" w:eastAsia="Times New Roman" w:cs="Times New Roman"/>
      <w:kern w:val="2"/>
      <w:lang w:eastAsia="ar-SA"/>
    </w:rPr>
  </w:style>
  <w:style w:type="paragraph" w:styleId="Xl38" w:customStyle="1">
    <w:name w:val="xl38"/>
    <w:basedOn w:val="Normal"/>
    <w:qFormat/>
    <w:rsid w:val="009a6d41"/>
    <w:pPr>
      <w:spacing w:lineRule="auto" w:line="276" w:before="0" w:after="200"/>
    </w:pPr>
    <w:rPr>
      <w:rFonts w:ascii="Calibri" w:hAnsi="Calibri" w:eastAsia="Times New Roman" w:cs="Times New Roman"/>
      <w:kern w:val="2"/>
      <w:lang w:eastAsia="ar-SA"/>
    </w:rPr>
  </w:style>
  <w:style w:type="paragraph" w:styleId="Xl39" w:customStyle="1">
    <w:name w:val="xl39"/>
    <w:basedOn w:val="Normal"/>
    <w:qFormat/>
    <w:rsid w:val="009a6d41"/>
    <w:pPr>
      <w:spacing w:lineRule="auto" w:line="276" w:before="0" w:after="200"/>
    </w:pPr>
    <w:rPr>
      <w:rFonts w:ascii="Calibri" w:hAnsi="Calibri" w:eastAsia="Times New Roman" w:cs="Times New Roman"/>
      <w:kern w:val="2"/>
      <w:lang w:eastAsia="ar-SA"/>
    </w:rPr>
  </w:style>
  <w:style w:type="paragraph" w:styleId="Xl40" w:customStyle="1">
    <w:name w:val="xl40"/>
    <w:basedOn w:val="Normal"/>
    <w:qFormat/>
    <w:rsid w:val="009a6d41"/>
    <w:pPr>
      <w:spacing w:lineRule="auto" w:line="276" w:before="0" w:after="200"/>
    </w:pPr>
    <w:rPr>
      <w:rFonts w:ascii="Calibri" w:hAnsi="Calibri" w:eastAsia="Times New Roman" w:cs="Times New Roman"/>
      <w:kern w:val="2"/>
      <w:lang w:eastAsia="ar-SA"/>
    </w:rPr>
  </w:style>
  <w:style w:type="paragraph" w:styleId="Xl41" w:customStyle="1">
    <w:name w:val="xl41"/>
    <w:basedOn w:val="Normal"/>
    <w:qFormat/>
    <w:rsid w:val="009a6d41"/>
    <w:pPr>
      <w:spacing w:lineRule="auto" w:line="276" w:before="0" w:after="200"/>
    </w:pPr>
    <w:rPr>
      <w:rFonts w:ascii="Calibri" w:hAnsi="Calibri" w:eastAsia="Times New Roman" w:cs="Times New Roman"/>
      <w:kern w:val="2"/>
      <w:lang w:eastAsia="ar-SA"/>
    </w:rPr>
  </w:style>
  <w:style w:type="paragraph" w:styleId="Xl42" w:customStyle="1">
    <w:name w:val="xl42"/>
    <w:basedOn w:val="Normal"/>
    <w:qFormat/>
    <w:rsid w:val="009a6d41"/>
    <w:pPr>
      <w:spacing w:lineRule="auto" w:line="276" w:before="0" w:after="200"/>
    </w:pPr>
    <w:rPr>
      <w:rFonts w:ascii="Calibri" w:hAnsi="Calibri" w:eastAsia="Times New Roman" w:cs="Times New Roman"/>
      <w:kern w:val="2"/>
      <w:lang w:eastAsia="ar-SA"/>
    </w:rPr>
  </w:style>
  <w:style w:type="paragraph" w:styleId="Xl43" w:customStyle="1">
    <w:name w:val="xl43"/>
    <w:basedOn w:val="Normal"/>
    <w:qFormat/>
    <w:rsid w:val="009a6d41"/>
    <w:pPr>
      <w:spacing w:lineRule="auto" w:line="276" w:before="0" w:after="200"/>
    </w:pPr>
    <w:rPr>
      <w:rFonts w:ascii="Calibri" w:hAnsi="Calibri" w:eastAsia="Times New Roman" w:cs="Times New Roman"/>
      <w:kern w:val="2"/>
      <w:lang w:eastAsia="ar-SA"/>
    </w:rPr>
  </w:style>
  <w:style w:type="paragraph" w:styleId="Xl44" w:customStyle="1">
    <w:name w:val="xl44"/>
    <w:basedOn w:val="Normal"/>
    <w:qFormat/>
    <w:rsid w:val="009a6d41"/>
    <w:pPr>
      <w:spacing w:lineRule="auto" w:line="276" w:before="0" w:after="200"/>
    </w:pPr>
    <w:rPr>
      <w:rFonts w:ascii="Calibri" w:hAnsi="Calibri" w:eastAsia="Times New Roman" w:cs="Times New Roman"/>
      <w:kern w:val="2"/>
      <w:lang w:eastAsia="ar-SA"/>
    </w:rPr>
  </w:style>
  <w:style w:type="paragraph" w:styleId="Xl45" w:customStyle="1">
    <w:name w:val="xl45"/>
    <w:basedOn w:val="Normal"/>
    <w:qFormat/>
    <w:rsid w:val="009a6d41"/>
    <w:pPr>
      <w:spacing w:lineRule="auto" w:line="276" w:before="0" w:after="200"/>
    </w:pPr>
    <w:rPr>
      <w:rFonts w:ascii="Calibri" w:hAnsi="Calibri" w:eastAsia="Times New Roman" w:cs="Times New Roman"/>
      <w:kern w:val="2"/>
      <w:lang w:eastAsia="ar-SA"/>
    </w:rPr>
  </w:style>
  <w:style w:type="paragraph" w:styleId="Xl46" w:customStyle="1">
    <w:name w:val="xl46"/>
    <w:basedOn w:val="Normal"/>
    <w:qFormat/>
    <w:rsid w:val="009a6d41"/>
    <w:pPr>
      <w:spacing w:lineRule="auto" w:line="276" w:before="0" w:after="200"/>
    </w:pPr>
    <w:rPr>
      <w:rFonts w:ascii="Calibri" w:hAnsi="Calibri" w:eastAsia="Times New Roman" w:cs="Times New Roman"/>
      <w:kern w:val="2"/>
      <w:lang w:eastAsia="ar-SA"/>
    </w:rPr>
  </w:style>
  <w:style w:type="paragraph" w:styleId="Xl47" w:customStyle="1">
    <w:name w:val="xl47"/>
    <w:basedOn w:val="Normal"/>
    <w:qFormat/>
    <w:rsid w:val="009a6d41"/>
    <w:pPr>
      <w:spacing w:lineRule="auto" w:line="276" w:before="0" w:after="200"/>
    </w:pPr>
    <w:rPr>
      <w:rFonts w:ascii="Calibri" w:hAnsi="Calibri" w:eastAsia="Times New Roman" w:cs="Times New Roman"/>
      <w:kern w:val="2"/>
      <w:lang w:eastAsia="ar-SA"/>
    </w:rPr>
  </w:style>
  <w:style w:type="paragraph" w:styleId="Xl48" w:customStyle="1">
    <w:name w:val="xl48"/>
    <w:basedOn w:val="Normal"/>
    <w:qFormat/>
    <w:rsid w:val="009a6d41"/>
    <w:pPr>
      <w:spacing w:lineRule="auto" w:line="276" w:before="0" w:after="200"/>
    </w:pPr>
    <w:rPr>
      <w:rFonts w:ascii="Calibri" w:hAnsi="Calibri" w:eastAsia="Times New Roman" w:cs="Times New Roman"/>
      <w:kern w:val="2"/>
      <w:lang w:eastAsia="ar-SA"/>
    </w:rPr>
  </w:style>
  <w:style w:type="paragraph" w:styleId="Xl49" w:customStyle="1">
    <w:name w:val="xl49"/>
    <w:basedOn w:val="Normal"/>
    <w:qFormat/>
    <w:rsid w:val="009a6d41"/>
    <w:pPr>
      <w:spacing w:lineRule="auto" w:line="276" w:before="0" w:after="200"/>
    </w:pPr>
    <w:rPr>
      <w:rFonts w:ascii="Calibri" w:hAnsi="Calibri" w:eastAsia="Times New Roman" w:cs="Times New Roman"/>
      <w:kern w:val="2"/>
      <w:lang w:eastAsia="ar-SA"/>
    </w:rPr>
  </w:style>
  <w:style w:type="paragraph" w:styleId="Xl50" w:customStyle="1">
    <w:name w:val="xl50"/>
    <w:basedOn w:val="Normal"/>
    <w:qFormat/>
    <w:rsid w:val="009a6d41"/>
    <w:pPr>
      <w:spacing w:lineRule="auto" w:line="276" w:before="0" w:after="200"/>
    </w:pPr>
    <w:rPr>
      <w:rFonts w:ascii="Calibri" w:hAnsi="Calibri" w:eastAsia="Times New Roman" w:cs="Times New Roman"/>
      <w:kern w:val="2"/>
      <w:lang w:eastAsia="ar-SA"/>
    </w:rPr>
  </w:style>
  <w:style w:type="paragraph" w:styleId="Xl51" w:customStyle="1">
    <w:name w:val="xl51"/>
    <w:basedOn w:val="Normal"/>
    <w:qFormat/>
    <w:rsid w:val="009a6d41"/>
    <w:pPr>
      <w:spacing w:lineRule="auto" w:line="276" w:before="0" w:after="200"/>
    </w:pPr>
    <w:rPr>
      <w:rFonts w:ascii="Calibri" w:hAnsi="Calibri" w:eastAsia="Times New Roman" w:cs="Times New Roman"/>
      <w:kern w:val="2"/>
      <w:lang w:eastAsia="ar-SA"/>
    </w:rPr>
  </w:style>
  <w:style w:type="paragraph" w:styleId="Xl52" w:customStyle="1">
    <w:name w:val="xl52"/>
    <w:basedOn w:val="Normal"/>
    <w:qFormat/>
    <w:rsid w:val="009a6d41"/>
    <w:pPr>
      <w:spacing w:lineRule="auto" w:line="276" w:before="0" w:after="200"/>
    </w:pPr>
    <w:rPr>
      <w:rFonts w:ascii="Calibri" w:hAnsi="Calibri" w:eastAsia="Times New Roman" w:cs="Times New Roman"/>
      <w:kern w:val="2"/>
      <w:lang w:eastAsia="ar-SA"/>
    </w:rPr>
  </w:style>
  <w:style w:type="paragraph" w:styleId="Xl53" w:customStyle="1">
    <w:name w:val="xl53"/>
    <w:basedOn w:val="Normal"/>
    <w:qFormat/>
    <w:rsid w:val="009a6d41"/>
    <w:pPr>
      <w:spacing w:lineRule="auto" w:line="276" w:before="0" w:after="200"/>
    </w:pPr>
    <w:rPr>
      <w:rFonts w:ascii="Calibri" w:hAnsi="Calibri" w:eastAsia="Times New Roman" w:cs="Times New Roman"/>
      <w:kern w:val="2"/>
      <w:lang w:eastAsia="ar-SA"/>
    </w:rPr>
  </w:style>
  <w:style w:type="paragraph" w:styleId="Xl54" w:customStyle="1">
    <w:name w:val="xl54"/>
    <w:basedOn w:val="Normal"/>
    <w:qFormat/>
    <w:rsid w:val="009a6d41"/>
    <w:pPr>
      <w:spacing w:lineRule="auto" w:line="276" w:before="0" w:after="200"/>
    </w:pPr>
    <w:rPr>
      <w:rFonts w:ascii="Calibri" w:hAnsi="Calibri" w:eastAsia="Times New Roman" w:cs="Times New Roman"/>
      <w:kern w:val="2"/>
      <w:lang w:eastAsia="ar-SA"/>
    </w:rPr>
  </w:style>
  <w:style w:type="paragraph" w:styleId="Xl55" w:customStyle="1">
    <w:name w:val="xl55"/>
    <w:basedOn w:val="Normal"/>
    <w:qFormat/>
    <w:rsid w:val="009a6d41"/>
    <w:pPr>
      <w:spacing w:lineRule="auto" w:line="276" w:before="0" w:after="200"/>
    </w:pPr>
    <w:rPr>
      <w:rFonts w:ascii="Calibri" w:hAnsi="Calibri" w:eastAsia="Times New Roman" w:cs="Times New Roman"/>
      <w:kern w:val="2"/>
      <w:lang w:eastAsia="ar-SA"/>
    </w:rPr>
  </w:style>
  <w:style w:type="paragraph" w:styleId="Xl56" w:customStyle="1">
    <w:name w:val="xl56"/>
    <w:basedOn w:val="Normal"/>
    <w:qFormat/>
    <w:rsid w:val="009a6d41"/>
    <w:pPr>
      <w:spacing w:lineRule="auto" w:line="276" w:before="0" w:after="200"/>
    </w:pPr>
    <w:rPr>
      <w:rFonts w:ascii="Calibri" w:hAnsi="Calibri" w:eastAsia="Times New Roman" w:cs="Times New Roman"/>
      <w:kern w:val="2"/>
      <w:lang w:eastAsia="ar-SA"/>
    </w:rPr>
  </w:style>
  <w:style w:type="paragraph" w:styleId="Xl57" w:customStyle="1">
    <w:name w:val="xl57"/>
    <w:basedOn w:val="Normal"/>
    <w:qFormat/>
    <w:rsid w:val="009a6d41"/>
    <w:pPr>
      <w:spacing w:lineRule="auto" w:line="276" w:before="0" w:after="200"/>
    </w:pPr>
    <w:rPr>
      <w:rFonts w:ascii="Calibri" w:hAnsi="Calibri" w:eastAsia="Times New Roman" w:cs="Times New Roman"/>
      <w:kern w:val="2"/>
      <w:lang w:eastAsia="ar-SA"/>
    </w:rPr>
  </w:style>
  <w:style w:type="paragraph" w:styleId="Xl58" w:customStyle="1">
    <w:name w:val="xl58"/>
    <w:basedOn w:val="Normal"/>
    <w:qFormat/>
    <w:rsid w:val="009a6d41"/>
    <w:pPr>
      <w:spacing w:lineRule="auto" w:line="276" w:before="0" w:after="200"/>
    </w:pPr>
    <w:rPr>
      <w:rFonts w:ascii="Calibri" w:hAnsi="Calibri" w:eastAsia="Times New Roman" w:cs="Times New Roman"/>
      <w:kern w:val="2"/>
      <w:lang w:eastAsia="ar-SA"/>
    </w:rPr>
  </w:style>
  <w:style w:type="paragraph" w:styleId="Xl59" w:customStyle="1">
    <w:name w:val="xl59"/>
    <w:basedOn w:val="Normal"/>
    <w:qFormat/>
    <w:rsid w:val="009a6d41"/>
    <w:pPr>
      <w:spacing w:lineRule="auto" w:line="276" w:before="0" w:after="200"/>
    </w:pPr>
    <w:rPr>
      <w:rFonts w:ascii="Calibri" w:hAnsi="Calibri" w:eastAsia="Times New Roman" w:cs="Times New Roman"/>
      <w:kern w:val="2"/>
      <w:lang w:eastAsia="ar-SA"/>
    </w:rPr>
  </w:style>
  <w:style w:type="paragraph" w:styleId="Xl60" w:customStyle="1">
    <w:name w:val="xl60"/>
    <w:basedOn w:val="Normal"/>
    <w:qFormat/>
    <w:rsid w:val="009a6d41"/>
    <w:pPr>
      <w:spacing w:lineRule="auto" w:line="276" w:before="0" w:after="200"/>
    </w:pPr>
    <w:rPr>
      <w:rFonts w:ascii="Calibri" w:hAnsi="Calibri" w:eastAsia="Times New Roman" w:cs="Times New Roman"/>
      <w:kern w:val="2"/>
      <w:lang w:eastAsia="ar-SA"/>
    </w:rPr>
  </w:style>
  <w:style w:type="paragraph" w:styleId="Xl61" w:customStyle="1">
    <w:name w:val="xl61"/>
    <w:basedOn w:val="Normal"/>
    <w:qFormat/>
    <w:rsid w:val="009a6d41"/>
    <w:pPr>
      <w:spacing w:lineRule="auto" w:line="276" w:before="0" w:after="200"/>
    </w:pPr>
    <w:rPr>
      <w:rFonts w:ascii="Calibri" w:hAnsi="Calibri" w:eastAsia="Times New Roman" w:cs="Times New Roman"/>
      <w:kern w:val="2"/>
      <w:lang w:eastAsia="ar-SA"/>
    </w:rPr>
  </w:style>
  <w:style w:type="paragraph" w:styleId="Xl62" w:customStyle="1">
    <w:name w:val="xl62"/>
    <w:basedOn w:val="Normal"/>
    <w:qFormat/>
    <w:rsid w:val="009a6d41"/>
    <w:pPr>
      <w:spacing w:lineRule="auto" w:line="276" w:before="0" w:after="200"/>
    </w:pPr>
    <w:rPr>
      <w:rFonts w:ascii="Calibri" w:hAnsi="Calibri" w:eastAsia="Times New Roman" w:cs="Times New Roman"/>
      <w:kern w:val="2"/>
      <w:lang w:eastAsia="ar-SA"/>
    </w:rPr>
  </w:style>
  <w:style w:type="paragraph" w:styleId="Xl63" w:customStyle="1">
    <w:name w:val="xl63"/>
    <w:basedOn w:val="Normal"/>
    <w:qFormat/>
    <w:rsid w:val="009a6d41"/>
    <w:pPr>
      <w:spacing w:lineRule="auto" w:line="276" w:before="0" w:after="200"/>
    </w:pPr>
    <w:rPr>
      <w:rFonts w:ascii="Calibri" w:hAnsi="Calibri" w:eastAsia="Times New Roman" w:cs="Times New Roman"/>
      <w:kern w:val="2"/>
      <w:lang w:eastAsia="ar-SA"/>
    </w:rPr>
  </w:style>
  <w:style w:type="paragraph" w:styleId="Xl64" w:customStyle="1">
    <w:name w:val="xl64"/>
    <w:basedOn w:val="Normal"/>
    <w:qFormat/>
    <w:rsid w:val="009a6d41"/>
    <w:pPr>
      <w:spacing w:lineRule="auto" w:line="276" w:before="0" w:after="200"/>
    </w:pPr>
    <w:rPr>
      <w:rFonts w:ascii="Calibri" w:hAnsi="Calibri" w:eastAsia="Times New Roman" w:cs="Times New Roman"/>
      <w:kern w:val="2"/>
      <w:lang w:eastAsia="ar-SA"/>
    </w:rPr>
  </w:style>
  <w:style w:type="paragraph" w:styleId="Xl65" w:customStyle="1">
    <w:name w:val="xl65"/>
    <w:basedOn w:val="Normal"/>
    <w:qFormat/>
    <w:rsid w:val="009a6d41"/>
    <w:pPr>
      <w:spacing w:lineRule="auto" w:line="276" w:before="0" w:after="200"/>
    </w:pPr>
    <w:rPr>
      <w:rFonts w:ascii="Calibri" w:hAnsi="Calibri" w:eastAsia="Times New Roman" w:cs="Times New Roman"/>
      <w:kern w:val="2"/>
      <w:lang w:eastAsia="ar-SA"/>
    </w:rPr>
  </w:style>
  <w:style w:type="paragraph" w:styleId="Xl66" w:customStyle="1">
    <w:name w:val="xl66"/>
    <w:basedOn w:val="Normal"/>
    <w:qFormat/>
    <w:rsid w:val="009a6d41"/>
    <w:pPr>
      <w:spacing w:lineRule="auto" w:line="276" w:before="0" w:after="200"/>
    </w:pPr>
    <w:rPr>
      <w:rFonts w:ascii="Calibri" w:hAnsi="Calibri" w:eastAsia="Times New Roman" w:cs="Times New Roman"/>
      <w:kern w:val="2"/>
      <w:lang w:eastAsia="ar-SA"/>
    </w:rPr>
  </w:style>
  <w:style w:type="paragraph" w:styleId="Xl67" w:customStyle="1">
    <w:name w:val="xl67"/>
    <w:basedOn w:val="Normal"/>
    <w:qFormat/>
    <w:rsid w:val="009a6d41"/>
    <w:pPr>
      <w:spacing w:lineRule="auto" w:line="276" w:before="0" w:after="200"/>
    </w:pPr>
    <w:rPr>
      <w:rFonts w:ascii="Calibri" w:hAnsi="Calibri" w:eastAsia="Times New Roman" w:cs="Times New Roman"/>
      <w:kern w:val="2"/>
      <w:lang w:eastAsia="ar-SA"/>
    </w:rPr>
  </w:style>
  <w:style w:type="paragraph" w:styleId="Xl68" w:customStyle="1">
    <w:name w:val="xl68"/>
    <w:basedOn w:val="Normal"/>
    <w:qFormat/>
    <w:rsid w:val="009a6d41"/>
    <w:pPr>
      <w:spacing w:lineRule="auto" w:line="276" w:before="0" w:after="200"/>
    </w:pPr>
    <w:rPr>
      <w:rFonts w:ascii="Calibri" w:hAnsi="Calibri" w:eastAsia="Times New Roman" w:cs="Times New Roman"/>
      <w:kern w:val="2"/>
      <w:lang w:eastAsia="ar-SA"/>
    </w:rPr>
  </w:style>
  <w:style w:type="paragraph" w:styleId="Xl69" w:customStyle="1">
    <w:name w:val="xl69"/>
    <w:basedOn w:val="Normal"/>
    <w:qFormat/>
    <w:rsid w:val="009a6d41"/>
    <w:pPr>
      <w:spacing w:lineRule="auto" w:line="276" w:before="0" w:after="200"/>
    </w:pPr>
    <w:rPr>
      <w:rFonts w:ascii="Calibri" w:hAnsi="Calibri" w:eastAsia="Times New Roman" w:cs="Times New Roman"/>
      <w:kern w:val="2"/>
      <w:lang w:eastAsia="ar-SA"/>
    </w:rPr>
  </w:style>
  <w:style w:type="paragraph" w:styleId="Xl70" w:customStyle="1">
    <w:name w:val="xl70"/>
    <w:basedOn w:val="Normal"/>
    <w:qFormat/>
    <w:rsid w:val="009a6d41"/>
    <w:pPr>
      <w:spacing w:lineRule="auto" w:line="276" w:before="0" w:after="200"/>
    </w:pPr>
    <w:rPr>
      <w:rFonts w:ascii="Calibri" w:hAnsi="Calibri" w:eastAsia="Times New Roman" w:cs="Times New Roman"/>
      <w:kern w:val="2"/>
      <w:lang w:eastAsia="ar-SA"/>
    </w:rPr>
  </w:style>
  <w:style w:type="paragraph" w:styleId="Xl71" w:customStyle="1">
    <w:name w:val="xl71"/>
    <w:basedOn w:val="Normal"/>
    <w:qFormat/>
    <w:rsid w:val="009a6d41"/>
    <w:pPr>
      <w:spacing w:lineRule="auto" w:line="276" w:before="0" w:after="200"/>
    </w:pPr>
    <w:rPr>
      <w:rFonts w:ascii="Calibri" w:hAnsi="Calibri" w:eastAsia="Times New Roman" w:cs="Times New Roman"/>
      <w:kern w:val="2"/>
      <w:lang w:eastAsia="ar-SA"/>
    </w:rPr>
  </w:style>
  <w:style w:type="paragraph" w:styleId="Xl72" w:customStyle="1">
    <w:name w:val="xl72"/>
    <w:basedOn w:val="Normal"/>
    <w:qFormat/>
    <w:rsid w:val="009a6d41"/>
    <w:pPr>
      <w:spacing w:lineRule="auto" w:line="276" w:before="0" w:after="200"/>
    </w:pPr>
    <w:rPr>
      <w:rFonts w:ascii="Calibri" w:hAnsi="Calibri" w:eastAsia="Times New Roman" w:cs="Times New Roman"/>
      <w:kern w:val="2"/>
      <w:lang w:eastAsia="ar-SA"/>
    </w:rPr>
  </w:style>
  <w:style w:type="paragraph" w:styleId="Xl73" w:customStyle="1">
    <w:name w:val="xl73"/>
    <w:basedOn w:val="Normal"/>
    <w:qFormat/>
    <w:rsid w:val="009a6d41"/>
    <w:pPr>
      <w:spacing w:lineRule="auto" w:line="276" w:before="0" w:after="200"/>
    </w:pPr>
    <w:rPr>
      <w:rFonts w:ascii="Calibri" w:hAnsi="Calibri" w:eastAsia="Times New Roman" w:cs="Times New Roman"/>
      <w:kern w:val="2"/>
      <w:lang w:eastAsia="ar-SA"/>
    </w:rPr>
  </w:style>
  <w:style w:type="paragraph" w:styleId="Xl74" w:customStyle="1">
    <w:name w:val="xl74"/>
    <w:basedOn w:val="Normal"/>
    <w:qFormat/>
    <w:rsid w:val="009a6d41"/>
    <w:pPr>
      <w:spacing w:lineRule="auto" w:line="276" w:before="0" w:after="200"/>
    </w:pPr>
    <w:rPr>
      <w:rFonts w:ascii="Calibri" w:hAnsi="Calibri" w:eastAsia="Times New Roman" w:cs="Times New Roman"/>
      <w:kern w:val="2"/>
      <w:lang w:eastAsia="ar-SA"/>
    </w:rPr>
  </w:style>
  <w:style w:type="paragraph" w:styleId="Xl75" w:customStyle="1">
    <w:name w:val="xl75"/>
    <w:basedOn w:val="Normal"/>
    <w:qFormat/>
    <w:rsid w:val="009a6d41"/>
    <w:pPr>
      <w:spacing w:lineRule="auto" w:line="276" w:before="0" w:after="200"/>
    </w:pPr>
    <w:rPr>
      <w:rFonts w:ascii="Calibri" w:hAnsi="Calibri" w:eastAsia="Times New Roman" w:cs="Times New Roman"/>
      <w:kern w:val="2"/>
      <w:lang w:eastAsia="ar-SA"/>
    </w:rPr>
  </w:style>
  <w:style w:type="paragraph" w:styleId="Xl76" w:customStyle="1">
    <w:name w:val="xl76"/>
    <w:basedOn w:val="Normal"/>
    <w:qFormat/>
    <w:rsid w:val="009a6d41"/>
    <w:pPr>
      <w:spacing w:lineRule="auto" w:line="276" w:before="0" w:after="200"/>
    </w:pPr>
    <w:rPr>
      <w:rFonts w:ascii="Calibri" w:hAnsi="Calibri" w:eastAsia="Times New Roman" w:cs="Times New Roman"/>
      <w:kern w:val="2"/>
      <w:lang w:eastAsia="ar-SA"/>
    </w:rPr>
  </w:style>
  <w:style w:type="paragraph" w:styleId="Xl77" w:customStyle="1">
    <w:name w:val="xl77"/>
    <w:basedOn w:val="Normal"/>
    <w:qFormat/>
    <w:rsid w:val="009a6d41"/>
    <w:pPr>
      <w:spacing w:lineRule="auto" w:line="276" w:before="0" w:after="200"/>
    </w:pPr>
    <w:rPr>
      <w:rFonts w:ascii="Calibri" w:hAnsi="Calibri" w:eastAsia="Times New Roman" w:cs="Times New Roman"/>
      <w:kern w:val="2"/>
      <w:lang w:eastAsia="ar-SA"/>
    </w:rPr>
  </w:style>
  <w:style w:type="paragraph" w:styleId="Xl78" w:customStyle="1">
    <w:name w:val="xl78"/>
    <w:basedOn w:val="Normal"/>
    <w:qFormat/>
    <w:rsid w:val="009a6d41"/>
    <w:pPr>
      <w:spacing w:lineRule="auto" w:line="276" w:before="0" w:after="200"/>
    </w:pPr>
    <w:rPr>
      <w:rFonts w:ascii="Calibri" w:hAnsi="Calibri" w:eastAsia="Times New Roman" w:cs="Times New Roman"/>
      <w:kern w:val="2"/>
      <w:lang w:eastAsia="ar-SA"/>
    </w:rPr>
  </w:style>
  <w:style w:type="paragraph" w:styleId="Xl79" w:customStyle="1">
    <w:name w:val="xl79"/>
    <w:basedOn w:val="Normal"/>
    <w:qFormat/>
    <w:rsid w:val="009a6d41"/>
    <w:pPr>
      <w:spacing w:lineRule="auto" w:line="276" w:before="0" w:after="200"/>
    </w:pPr>
    <w:rPr>
      <w:rFonts w:ascii="Calibri" w:hAnsi="Calibri" w:eastAsia="Times New Roman" w:cs="Times New Roman"/>
      <w:kern w:val="2"/>
      <w:lang w:eastAsia="ar-SA"/>
    </w:rPr>
  </w:style>
  <w:style w:type="paragraph" w:styleId="Xl80" w:customStyle="1">
    <w:name w:val="xl80"/>
    <w:basedOn w:val="Normal"/>
    <w:qFormat/>
    <w:rsid w:val="009a6d41"/>
    <w:pPr>
      <w:spacing w:lineRule="auto" w:line="276" w:before="0" w:after="200"/>
    </w:pPr>
    <w:rPr>
      <w:rFonts w:ascii="Calibri" w:hAnsi="Calibri" w:eastAsia="Times New Roman" w:cs="Times New Roman"/>
      <w:kern w:val="2"/>
      <w:lang w:eastAsia="ar-SA"/>
    </w:rPr>
  </w:style>
  <w:style w:type="paragraph" w:styleId="Xl81" w:customStyle="1">
    <w:name w:val="xl81"/>
    <w:basedOn w:val="Normal"/>
    <w:qFormat/>
    <w:rsid w:val="009a6d41"/>
    <w:pPr>
      <w:spacing w:lineRule="auto" w:line="276" w:before="0" w:after="200"/>
    </w:pPr>
    <w:rPr>
      <w:rFonts w:ascii="Calibri" w:hAnsi="Calibri" w:eastAsia="Times New Roman" w:cs="Times New Roman"/>
      <w:kern w:val="2"/>
      <w:lang w:eastAsia="ar-SA"/>
    </w:rPr>
  </w:style>
  <w:style w:type="paragraph" w:styleId="Xl82" w:customStyle="1">
    <w:name w:val="xl82"/>
    <w:basedOn w:val="Normal"/>
    <w:qFormat/>
    <w:rsid w:val="009a6d41"/>
    <w:pPr>
      <w:spacing w:lineRule="auto" w:line="276" w:before="0" w:after="200"/>
    </w:pPr>
    <w:rPr>
      <w:rFonts w:ascii="Calibri" w:hAnsi="Calibri" w:eastAsia="Times New Roman" w:cs="Times New Roman"/>
      <w:kern w:val="2"/>
      <w:lang w:eastAsia="ar-SA"/>
    </w:rPr>
  </w:style>
  <w:style w:type="paragraph" w:styleId="Xl83" w:customStyle="1">
    <w:name w:val="xl83"/>
    <w:basedOn w:val="Normal"/>
    <w:qFormat/>
    <w:rsid w:val="009a6d41"/>
    <w:pPr>
      <w:spacing w:lineRule="auto" w:line="276" w:before="0" w:after="200"/>
    </w:pPr>
    <w:rPr>
      <w:rFonts w:ascii="Calibri" w:hAnsi="Calibri" w:eastAsia="Times New Roman" w:cs="Times New Roman"/>
      <w:kern w:val="2"/>
      <w:lang w:eastAsia="ar-SA"/>
    </w:rPr>
  </w:style>
  <w:style w:type="paragraph" w:styleId="Xl84" w:customStyle="1">
    <w:name w:val="xl84"/>
    <w:basedOn w:val="Normal"/>
    <w:qFormat/>
    <w:rsid w:val="009a6d41"/>
    <w:pPr>
      <w:spacing w:lineRule="auto" w:line="276" w:before="0" w:after="200"/>
    </w:pPr>
    <w:rPr>
      <w:rFonts w:ascii="Calibri" w:hAnsi="Calibri" w:eastAsia="Times New Roman" w:cs="Times New Roman"/>
      <w:kern w:val="2"/>
      <w:lang w:eastAsia="ar-SA"/>
    </w:rPr>
  </w:style>
  <w:style w:type="paragraph" w:styleId="Xl85" w:customStyle="1">
    <w:name w:val="xl85"/>
    <w:basedOn w:val="Normal"/>
    <w:qFormat/>
    <w:rsid w:val="009a6d41"/>
    <w:pPr>
      <w:spacing w:lineRule="auto" w:line="276" w:before="0" w:after="200"/>
    </w:pPr>
    <w:rPr>
      <w:rFonts w:ascii="Calibri" w:hAnsi="Calibri" w:eastAsia="Times New Roman" w:cs="Times New Roman"/>
      <w:kern w:val="2"/>
      <w:lang w:eastAsia="ar-SA"/>
    </w:rPr>
  </w:style>
  <w:style w:type="paragraph" w:styleId="Xl86" w:customStyle="1">
    <w:name w:val="xl86"/>
    <w:basedOn w:val="Normal"/>
    <w:qFormat/>
    <w:rsid w:val="009a6d41"/>
    <w:pPr>
      <w:spacing w:lineRule="auto" w:line="276" w:before="0" w:after="200"/>
    </w:pPr>
    <w:rPr>
      <w:rFonts w:ascii="Calibri" w:hAnsi="Calibri" w:eastAsia="Times New Roman" w:cs="Times New Roman"/>
      <w:kern w:val="2"/>
      <w:lang w:eastAsia="ar-SA"/>
    </w:rPr>
  </w:style>
  <w:style w:type="paragraph" w:styleId="Xl87" w:customStyle="1">
    <w:name w:val="xl87"/>
    <w:basedOn w:val="Normal"/>
    <w:qFormat/>
    <w:rsid w:val="009a6d41"/>
    <w:pPr>
      <w:spacing w:lineRule="auto" w:line="276" w:before="0" w:after="200"/>
    </w:pPr>
    <w:rPr>
      <w:rFonts w:ascii="Calibri" w:hAnsi="Calibri" w:eastAsia="Times New Roman" w:cs="Times New Roman"/>
      <w:kern w:val="2"/>
      <w:lang w:eastAsia="ar-SA"/>
    </w:rPr>
  </w:style>
  <w:style w:type="paragraph" w:styleId="Xl88" w:customStyle="1">
    <w:name w:val="xl88"/>
    <w:basedOn w:val="Normal"/>
    <w:qFormat/>
    <w:rsid w:val="009a6d41"/>
    <w:pPr>
      <w:spacing w:lineRule="auto" w:line="276" w:before="0" w:after="200"/>
    </w:pPr>
    <w:rPr>
      <w:rFonts w:ascii="Calibri" w:hAnsi="Calibri" w:eastAsia="Times New Roman" w:cs="Times New Roman"/>
      <w:kern w:val="2"/>
      <w:lang w:eastAsia="ar-SA"/>
    </w:rPr>
  </w:style>
  <w:style w:type="paragraph" w:styleId="Xl89" w:customStyle="1">
    <w:name w:val="xl89"/>
    <w:basedOn w:val="Normal"/>
    <w:qFormat/>
    <w:rsid w:val="009a6d41"/>
    <w:pPr>
      <w:spacing w:lineRule="auto" w:line="276" w:before="0" w:after="200"/>
    </w:pPr>
    <w:rPr>
      <w:rFonts w:ascii="Calibri" w:hAnsi="Calibri" w:eastAsia="Times New Roman" w:cs="Times New Roman"/>
      <w:kern w:val="2"/>
      <w:lang w:eastAsia="ar-SA"/>
    </w:rPr>
  </w:style>
  <w:style w:type="paragraph" w:styleId="Xl90" w:customStyle="1">
    <w:name w:val="xl90"/>
    <w:basedOn w:val="Normal"/>
    <w:qFormat/>
    <w:rsid w:val="009a6d41"/>
    <w:pPr>
      <w:spacing w:lineRule="auto" w:line="276" w:before="0" w:after="200"/>
    </w:pPr>
    <w:rPr>
      <w:rFonts w:ascii="Calibri" w:hAnsi="Calibri" w:eastAsia="Times New Roman" w:cs="Times New Roman"/>
      <w:kern w:val="2"/>
      <w:lang w:eastAsia="ar-SA"/>
    </w:rPr>
  </w:style>
  <w:style w:type="paragraph" w:styleId="Xl91" w:customStyle="1">
    <w:name w:val="xl91"/>
    <w:basedOn w:val="Normal"/>
    <w:qFormat/>
    <w:rsid w:val="009a6d41"/>
    <w:pPr>
      <w:spacing w:lineRule="auto" w:line="276" w:before="0" w:after="200"/>
    </w:pPr>
    <w:rPr>
      <w:rFonts w:ascii="Calibri" w:hAnsi="Calibri" w:eastAsia="Times New Roman" w:cs="Times New Roman"/>
      <w:kern w:val="2"/>
      <w:lang w:eastAsia="ar-SA"/>
    </w:rPr>
  </w:style>
  <w:style w:type="paragraph" w:styleId="Xl92" w:customStyle="1">
    <w:name w:val="xl92"/>
    <w:basedOn w:val="Normal"/>
    <w:qFormat/>
    <w:rsid w:val="009a6d41"/>
    <w:pPr>
      <w:spacing w:lineRule="auto" w:line="276" w:before="0" w:after="200"/>
    </w:pPr>
    <w:rPr>
      <w:rFonts w:ascii="Calibri" w:hAnsi="Calibri" w:eastAsia="Times New Roman" w:cs="Times New Roman"/>
      <w:kern w:val="2"/>
      <w:lang w:eastAsia="ar-SA"/>
    </w:rPr>
  </w:style>
  <w:style w:type="paragraph" w:styleId="Xl93" w:customStyle="1">
    <w:name w:val="xl93"/>
    <w:basedOn w:val="Normal"/>
    <w:qFormat/>
    <w:rsid w:val="009a6d41"/>
    <w:pPr>
      <w:spacing w:lineRule="auto" w:line="276" w:before="0" w:after="200"/>
    </w:pPr>
    <w:rPr>
      <w:rFonts w:ascii="Calibri" w:hAnsi="Calibri" w:eastAsia="Times New Roman" w:cs="Times New Roman"/>
      <w:kern w:val="2"/>
      <w:lang w:eastAsia="ar-SA"/>
    </w:rPr>
  </w:style>
  <w:style w:type="paragraph" w:styleId="Xl94" w:customStyle="1">
    <w:name w:val="xl94"/>
    <w:basedOn w:val="Normal"/>
    <w:qFormat/>
    <w:rsid w:val="009a6d41"/>
    <w:pPr>
      <w:spacing w:lineRule="auto" w:line="276" w:before="0" w:after="200"/>
    </w:pPr>
    <w:rPr>
      <w:rFonts w:ascii="Calibri" w:hAnsi="Calibri" w:eastAsia="Times New Roman" w:cs="Times New Roman"/>
      <w:kern w:val="2"/>
      <w:lang w:eastAsia="ar-SA"/>
    </w:rPr>
  </w:style>
  <w:style w:type="paragraph" w:styleId="Xl95" w:customStyle="1">
    <w:name w:val="xl95"/>
    <w:basedOn w:val="Normal"/>
    <w:qFormat/>
    <w:rsid w:val="009a6d41"/>
    <w:pPr>
      <w:spacing w:lineRule="auto" w:line="276" w:before="0" w:after="200"/>
    </w:pPr>
    <w:rPr>
      <w:rFonts w:ascii="Calibri" w:hAnsi="Calibri" w:eastAsia="Times New Roman" w:cs="Times New Roman"/>
      <w:kern w:val="2"/>
      <w:lang w:eastAsia="ar-SA"/>
    </w:rPr>
  </w:style>
  <w:style w:type="paragraph" w:styleId="Xl96" w:customStyle="1">
    <w:name w:val="xl96"/>
    <w:basedOn w:val="Normal"/>
    <w:qFormat/>
    <w:rsid w:val="009a6d41"/>
    <w:pPr>
      <w:spacing w:lineRule="auto" w:line="276" w:before="0" w:after="200"/>
    </w:pPr>
    <w:rPr>
      <w:rFonts w:ascii="Calibri" w:hAnsi="Calibri" w:eastAsia="Times New Roman" w:cs="Times New Roman"/>
      <w:kern w:val="2"/>
      <w:lang w:eastAsia="ar-SA"/>
    </w:rPr>
  </w:style>
  <w:style w:type="paragraph" w:styleId="Xl97" w:customStyle="1">
    <w:name w:val="xl97"/>
    <w:basedOn w:val="Normal"/>
    <w:qFormat/>
    <w:rsid w:val="009a6d41"/>
    <w:pPr>
      <w:spacing w:lineRule="auto" w:line="276" w:before="0" w:after="200"/>
    </w:pPr>
    <w:rPr>
      <w:rFonts w:ascii="Calibri" w:hAnsi="Calibri" w:eastAsia="Times New Roman" w:cs="Times New Roman"/>
      <w:kern w:val="2"/>
      <w:lang w:eastAsia="ar-SA"/>
    </w:rPr>
  </w:style>
  <w:style w:type="paragraph" w:styleId="Xl98" w:customStyle="1">
    <w:name w:val="xl98"/>
    <w:basedOn w:val="Normal"/>
    <w:qFormat/>
    <w:rsid w:val="009a6d41"/>
    <w:pPr>
      <w:spacing w:lineRule="auto" w:line="276" w:before="0" w:after="200"/>
    </w:pPr>
    <w:rPr>
      <w:rFonts w:ascii="Calibri" w:hAnsi="Calibri" w:eastAsia="Times New Roman" w:cs="Times New Roman"/>
      <w:kern w:val="2"/>
      <w:lang w:eastAsia="ar-SA"/>
    </w:rPr>
  </w:style>
  <w:style w:type="paragraph" w:styleId="Xl99" w:customStyle="1">
    <w:name w:val="xl99"/>
    <w:basedOn w:val="Normal"/>
    <w:qFormat/>
    <w:rsid w:val="009a6d41"/>
    <w:pPr>
      <w:spacing w:lineRule="auto" w:line="276" w:before="0" w:after="200"/>
    </w:pPr>
    <w:rPr>
      <w:rFonts w:ascii="Calibri" w:hAnsi="Calibri" w:eastAsia="Times New Roman" w:cs="Times New Roman"/>
      <w:kern w:val="2"/>
      <w:lang w:eastAsia="ar-SA"/>
    </w:rPr>
  </w:style>
  <w:style w:type="paragraph" w:styleId="Xl100" w:customStyle="1">
    <w:name w:val="xl100"/>
    <w:basedOn w:val="Normal"/>
    <w:qFormat/>
    <w:rsid w:val="009a6d41"/>
    <w:pPr>
      <w:spacing w:lineRule="auto" w:line="276" w:before="0" w:after="200"/>
    </w:pPr>
    <w:rPr>
      <w:rFonts w:ascii="Calibri" w:hAnsi="Calibri" w:eastAsia="Times New Roman" w:cs="Times New Roman"/>
      <w:kern w:val="2"/>
      <w:lang w:eastAsia="ar-SA"/>
    </w:rPr>
  </w:style>
  <w:style w:type="paragraph" w:styleId="Xl101" w:customStyle="1">
    <w:name w:val="xl101"/>
    <w:basedOn w:val="Normal"/>
    <w:qFormat/>
    <w:rsid w:val="009a6d41"/>
    <w:pPr>
      <w:spacing w:lineRule="auto" w:line="276" w:before="0" w:after="200"/>
    </w:pPr>
    <w:rPr>
      <w:rFonts w:ascii="Calibri" w:hAnsi="Calibri" w:eastAsia="Times New Roman" w:cs="Times New Roman"/>
      <w:kern w:val="2"/>
      <w:lang w:eastAsia="ar-SA"/>
    </w:rPr>
  </w:style>
  <w:style w:type="paragraph" w:styleId="Xl102" w:customStyle="1">
    <w:name w:val="xl102"/>
    <w:basedOn w:val="Normal"/>
    <w:qFormat/>
    <w:rsid w:val="009a6d41"/>
    <w:pPr>
      <w:spacing w:lineRule="auto" w:line="276" w:before="0" w:after="200"/>
    </w:pPr>
    <w:rPr>
      <w:rFonts w:ascii="Calibri" w:hAnsi="Calibri" w:eastAsia="Times New Roman" w:cs="Times New Roman"/>
      <w:kern w:val="2"/>
      <w:lang w:eastAsia="ar-SA"/>
    </w:rPr>
  </w:style>
  <w:style w:type="paragraph" w:styleId="Xl103" w:customStyle="1">
    <w:name w:val="xl103"/>
    <w:basedOn w:val="Normal"/>
    <w:qFormat/>
    <w:rsid w:val="009a6d41"/>
    <w:pPr>
      <w:spacing w:lineRule="auto" w:line="276" w:before="0" w:after="200"/>
    </w:pPr>
    <w:rPr>
      <w:rFonts w:ascii="Calibri" w:hAnsi="Calibri" w:eastAsia="Times New Roman" w:cs="Times New Roman"/>
      <w:kern w:val="2"/>
      <w:lang w:eastAsia="ar-SA"/>
    </w:rPr>
  </w:style>
  <w:style w:type="paragraph" w:styleId="Xl104" w:customStyle="1">
    <w:name w:val="xl104"/>
    <w:basedOn w:val="Normal"/>
    <w:qFormat/>
    <w:rsid w:val="009a6d41"/>
    <w:pPr>
      <w:spacing w:lineRule="auto" w:line="276" w:before="0" w:after="200"/>
    </w:pPr>
    <w:rPr>
      <w:rFonts w:ascii="Calibri" w:hAnsi="Calibri" w:eastAsia="Times New Roman" w:cs="Times New Roman"/>
      <w:kern w:val="2"/>
      <w:lang w:eastAsia="ar-SA"/>
    </w:rPr>
  </w:style>
  <w:style w:type="paragraph" w:styleId="Xl105" w:customStyle="1">
    <w:name w:val="xl105"/>
    <w:basedOn w:val="Normal"/>
    <w:qFormat/>
    <w:rsid w:val="009a6d41"/>
    <w:pPr>
      <w:spacing w:lineRule="auto" w:line="276" w:before="0" w:after="200"/>
    </w:pPr>
    <w:rPr>
      <w:rFonts w:ascii="Calibri" w:hAnsi="Calibri" w:eastAsia="Times New Roman" w:cs="Times New Roman"/>
      <w:kern w:val="2"/>
      <w:lang w:eastAsia="ar-SA"/>
    </w:rPr>
  </w:style>
  <w:style w:type="paragraph" w:styleId="Xl106" w:customStyle="1">
    <w:name w:val="xl106"/>
    <w:basedOn w:val="Normal"/>
    <w:qFormat/>
    <w:rsid w:val="009a6d41"/>
    <w:pPr>
      <w:spacing w:lineRule="auto" w:line="276" w:before="0" w:after="200"/>
    </w:pPr>
    <w:rPr>
      <w:rFonts w:ascii="Calibri" w:hAnsi="Calibri" w:eastAsia="Times New Roman" w:cs="Times New Roman"/>
      <w:kern w:val="2"/>
      <w:lang w:eastAsia="ar-SA"/>
    </w:rPr>
  </w:style>
  <w:style w:type="paragraph" w:styleId="Xl107" w:customStyle="1">
    <w:name w:val="xl107"/>
    <w:basedOn w:val="Normal"/>
    <w:qFormat/>
    <w:rsid w:val="009a6d41"/>
    <w:pPr>
      <w:spacing w:lineRule="auto" w:line="276" w:before="0" w:after="200"/>
    </w:pPr>
    <w:rPr>
      <w:rFonts w:ascii="Calibri" w:hAnsi="Calibri" w:eastAsia="Times New Roman" w:cs="Times New Roman"/>
      <w:kern w:val="2"/>
      <w:lang w:eastAsia="ar-SA"/>
    </w:rPr>
  </w:style>
  <w:style w:type="paragraph" w:styleId="Xl108" w:customStyle="1">
    <w:name w:val="xl108"/>
    <w:basedOn w:val="Normal"/>
    <w:qFormat/>
    <w:rsid w:val="009a6d41"/>
    <w:pPr>
      <w:spacing w:lineRule="auto" w:line="276" w:before="0" w:after="200"/>
    </w:pPr>
    <w:rPr>
      <w:rFonts w:ascii="Calibri" w:hAnsi="Calibri" w:eastAsia="Times New Roman" w:cs="Times New Roman"/>
      <w:kern w:val="2"/>
      <w:lang w:eastAsia="ar-SA"/>
    </w:rPr>
  </w:style>
  <w:style w:type="paragraph" w:styleId="Xl109" w:customStyle="1">
    <w:name w:val="xl109"/>
    <w:basedOn w:val="Normal"/>
    <w:qFormat/>
    <w:rsid w:val="009a6d41"/>
    <w:pPr>
      <w:spacing w:lineRule="auto" w:line="276" w:before="0" w:after="200"/>
    </w:pPr>
    <w:rPr>
      <w:rFonts w:ascii="Calibri" w:hAnsi="Calibri" w:eastAsia="Times New Roman" w:cs="Times New Roman"/>
      <w:kern w:val="2"/>
      <w:lang w:eastAsia="ar-SA"/>
    </w:rPr>
  </w:style>
  <w:style w:type="paragraph" w:styleId="Xl110" w:customStyle="1">
    <w:name w:val="xl110"/>
    <w:basedOn w:val="Normal"/>
    <w:qFormat/>
    <w:rsid w:val="009a6d41"/>
    <w:pPr>
      <w:spacing w:lineRule="auto" w:line="276" w:before="0" w:after="200"/>
    </w:pPr>
    <w:rPr>
      <w:rFonts w:ascii="Calibri" w:hAnsi="Calibri" w:eastAsia="Times New Roman" w:cs="Times New Roman"/>
      <w:kern w:val="2"/>
      <w:lang w:eastAsia="ar-SA"/>
    </w:rPr>
  </w:style>
  <w:style w:type="paragraph" w:styleId="Xl111" w:customStyle="1">
    <w:name w:val="xl111"/>
    <w:basedOn w:val="Normal"/>
    <w:qFormat/>
    <w:rsid w:val="009a6d41"/>
    <w:pPr>
      <w:spacing w:lineRule="auto" w:line="276" w:before="0" w:after="200"/>
    </w:pPr>
    <w:rPr>
      <w:rFonts w:ascii="Calibri" w:hAnsi="Calibri" w:eastAsia="Times New Roman" w:cs="Times New Roman"/>
      <w:kern w:val="2"/>
      <w:lang w:eastAsia="ar-SA"/>
    </w:rPr>
  </w:style>
  <w:style w:type="paragraph" w:styleId="Xl112" w:customStyle="1">
    <w:name w:val="xl112"/>
    <w:basedOn w:val="Normal"/>
    <w:qFormat/>
    <w:rsid w:val="009a6d41"/>
    <w:pPr>
      <w:spacing w:lineRule="auto" w:line="276" w:before="0" w:after="200"/>
    </w:pPr>
    <w:rPr>
      <w:rFonts w:ascii="Calibri" w:hAnsi="Calibri" w:eastAsia="Times New Roman" w:cs="Times New Roman"/>
      <w:kern w:val="2"/>
      <w:lang w:eastAsia="ar-SA"/>
    </w:rPr>
  </w:style>
  <w:style w:type="paragraph" w:styleId="Xl113" w:customStyle="1">
    <w:name w:val="xl113"/>
    <w:basedOn w:val="Normal"/>
    <w:qFormat/>
    <w:rsid w:val="009a6d41"/>
    <w:pPr>
      <w:spacing w:lineRule="auto" w:line="276" w:before="0" w:after="200"/>
    </w:pPr>
    <w:rPr>
      <w:rFonts w:ascii="Calibri" w:hAnsi="Calibri" w:eastAsia="Times New Roman" w:cs="Times New Roman"/>
      <w:kern w:val="2"/>
      <w:lang w:eastAsia="ar-SA"/>
    </w:rPr>
  </w:style>
  <w:style w:type="paragraph" w:styleId="Xl114" w:customStyle="1">
    <w:name w:val="xl114"/>
    <w:basedOn w:val="Normal"/>
    <w:qFormat/>
    <w:rsid w:val="009a6d41"/>
    <w:pPr>
      <w:spacing w:lineRule="auto" w:line="276" w:before="0" w:after="200"/>
    </w:pPr>
    <w:rPr>
      <w:rFonts w:ascii="Calibri" w:hAnsi="Calibri" w:eastAsia="Times New Roman" w:cs="Times New Roman"/>
      <w:kern w:val="2"/>
      <w:lang w:eastAsia="ar-SA"/>
    </w:rPr>
  </w:style>
  <w:style w:type="paragraph" w:styleId="Xl115" w:customStyle="1">
    <w:name w:val="xl115"/>
    <w:basedOn w:val="Normal"/>
    <w:qFormat/>
    <w:rsid w:val="009a6d41"/>
    <w:pPr>
      <w:spacing w:lineRule="auto" w:line="276" w:before="0" w:after="200"/>
    </w:pPr>
    <w:rPr>
      <w:rFonts w:ascii="Calibri" w:hAnsi="Calibri" w:eastAsia="Times New Roman" w:cs="Times New Roman"/>
      <w:kern w:val="2"/>
      <w:lang w:eastAsia="ar-SA"/>
    </w:rPr>
  </w:style>
  <w:style w:type="paragraph" w:styleId="Xl116" w:customStyle="1">
    <w:name w:val="xl116"/>
    <w:basedOn w:val="Normal"/>
    <w:qFormat/>
    <w:rsid w:val="009a6d41"/>
    <w:pPr>
      <w:spacing w:lineRule="auto" w:line="276" w:before="0" w:after="200"/>
    </w:pPr>
    <w:rPr>
      <w:rFonts w:ascii="Calibri" w:hAnsi="Calibri" w:eastAsia="Times New Roman" w:cs="Times New Roman"/>
      <w:kern w:val="2"/>
      <w:lang w:eastAsia="ar-SA"/>
    </w:rPr>
  </w:style>
  <w:style w:type="paragraph" w:styleId="Xl117" w:customStyle="1">
    <w:name w:val="xl117"/>
    <w:basedOn w:val="Normal"/>
    <w:qFormat/>
    <w:rsid w:val="009a6d41"/>
    <w:pPr>
      <w:spacing w:lineRule="auto" w:line="276" w:before="0" w:after="200"/>
    </w:pPr>
    <w:rPr>
      <w:rFonts w:ascii="Calibri" w:hAnsi="Calibri" w:eastAsia="Times New Roman" w:cs="Times New Roman"/>
      <w:kern w:val="2"/>
      <w:lang w:eastAsia="ar-SA"/>
    </w:rPr>
  </w:style>
  <w:style w:type="paragraph" w:styleId="Xl118" w:customStyle="1">
    <w:name w:val="xl118"/>
    <w:basedOn w:val="Normal"/>
    <w:qFormat/>
    <w:rsid w:val="009a6d41"/>
    <w:pPr>
      <w:spacing w:lineRule="auto" w:line="276" w:before="0" w:after="200"/>
    </w:pPr>
    <w:rPr>
      <w:rFonts w:ascii="Calibri" w:hAnsi="Calibri" w:eastAsia="Times New Roman" w:cs="Times New Roman"/>
      <w:kern w:val="2"/>
      <w:lang w:eastAsia="ar-SA"/>
    </w:rPr>
  </w:style>
  <w:style w:type="paragraph" w:styleId="Xl119" w:customStyle="1">
    <w:name w:val="xl119"/>
    <w:basedOn w:val="Normal"/>
    <w:qFormat/>
    <w:rsid w:val="009a6d41"/>
    <w:pPr>
      <w:spacing w:lineRule="auto" w:line="276" w:before="0" w:after="200"/>
    </w:pPr>
    <w:rPr>
      <w:rFonts w:ascii="Calibri" w:hAnsi="Calibri" w:eastAsia="Times New Roman" w:cs="Times New Roman"/>
      <w:kern w:val="2"/>
      <w:lang w:eastAsia="ar-SA"/>
    </w:rPr>
  </w:style>
  <w:style w:type="paragraph" w:styleId="Xl120" w:customStyle="1">
    <w:name w:val="xl120"/>
    <w:basedOn w:val="Normal"/>
    <w:qFormat/>
    <w:rsid w:val="009a6d41"/>
    <w:pPr>
      <w:spacing w:lineRule="auto" w:line="276" w:before="0" w:after="200"/>
    </w:pPr>
    <w:rPr>
      <w:rFonts w:ascii="Calibri" w:hAnsi="Calibri" w:eastAsia="Times New Roman" w:cs="Times New Roman"/>
      <w:kern w:val="2"/>
      <w:lang w:eastAsia="ar-SA"/>
    </w:rPr>
  </w:style>
  <w:style w:type="paragraph" w:styleId="Xl121" w:customStyle="1">
    <w:name w:val="xl121"/>
    <w:basedOn w:val="Normal"/>
    <w:qFormat/>
    <w:rsid w:val="009a6d41"/>
    <w:pPr>
      <w:spacing w:lineRule="auto" w:line="276" w:before="0" w:after="200"/>
    </w:pPr>
    <w:rPr>
      <w:rFonts w:ascii="Calibri" w:hAnsi="Calibri" w:eastAsia="Times New Roman" w:cs="Times New Roman"/>
      <w:kern w:val="2"/>
      <w:lang w:eastAsia="ar-SA"/>
    </w:rPr>
  </w:style>
  <w:style w:type="paragraph" w:styleId="Xl122" w:customStyle="1">
    <w:name w:val="xl122"/>
    <w:basedOn w:val="Normal"/>
    <w:qFormat/>
    <w:rsid w:val="009a6d41"/>
    <w:pPr>
      <w:spacing w:lineRule="auto" w:line="276" w:before="0" w:after="200"/>
    </w:pPr>
    <w:rPr>
      <w:rFonts w:ascii="Calibri" w:hAnsi="Calibri" w:eastAsia="Times New Roman" w:cs="Times New Roman"/>
      <w:kern w:val="2"/>
      <w:lang w:eastAsia="ar-SA"/>
    </w:rPr>
  </w:style>
  <w:style w:type="paragraph" w:styleId="Xl123" w:customStyle="1">
    <w:name w:val="xl123"/>
    <w:basedOn w:val="Normal"/>
    <w:qFormat/>
    <w:rsid w:val="009a6d41"/>
    <w:pPr>
      <w:spacing w:lineRule="auto" w:line="276" w:before="0" w:after="200"/>
    </w:pPr>
    <w:rPr>
      <w:rFonts w:ascii="Calibri" w:hAnsi="Calibri" w:eastAsia="Times New Roman" w:cs="Times New Roman"/>
      <w:kern w:val="2"/>
      <w:lang w:eastAsia="ar-SA"/>
    </w:rPr>
  </w:style>
  <w:style w:type="paragraph" w:styleId="Xl124" w:customStyle="1">
    <w:name w:val="xl124"/>
    <w:basedOn w:val="Normal"/>
    <w:qFormat/>
    <w:rsid w:val="009a6d41"/>
    <w:pPr>
      <w:spacing w:lineRule="auto" w:line="276" w:before="0" w:after="200"/>
    </w:pPr>
    <w:rPr>
      <w:rFonts w:ascii="Calibri" w:hAnsi="Calibri" w:eastAsia="Times New Roman" w:cs="Times New Roman"/>
      <w:kern w:val="2"/>
      <w:lang w:eastAsia="ar-SA"/>
    </w:rPr>
  </w:style>
  <w:style w:type="paragraph" w:styleId="Xl125" w:customStyle="1">
    <w:name w:val="xl125"/>
    <w:basedOn w:val="Normal"/>
    <w:qFormat/>
    <w:rsid w:val="009a6d41"/>
    <w:pPr>
      <w:spacing w:lineRule="auto" w:line="276" w:before="0" w:after="200"/>
    </w:pPr>
    <w:rPr>
      <w:rFonts w:ascii="Calibri" w:hAnsi="Calibri" w:eastAsia="Times New Roman" w:cs="Times New Roman"/>
      <w:kern w:val="2"/>
      <w:lang w:eastAsia="ar-SA"/>
    </w:rPr>
  </w:style>
  <w:style w:type="paragraph" w:styleId="Xl126" w:customStyle="1">
    <w:name w:val="xl126"/>
    <w:basedOn w:val="Normal"/>
    <w:qFormat/>
    <w:rsid w:val="009a6d41"/>
    <w:pPr>
      <w:spacing w:lineRule="auto" w:line="276" w:before="0" w:after="200"/>
    </w:pPr>
    <w:rPr>
      <w:rFonts w:ascii="Calibri" w:hAnsi="Calibri" w:eastAsia="Times New Roman" w:cs="Times New Roman"/>
      <w:kern w:val="2"/>
      <w:lang w:eastAsia="ar-SA"/>
    </w:rPr>
  </w:style>
  <w:style w:type="paragraph" w:styleId="Listapunktowana31" w:customStyle="1">
    <w:name w:val="Lista punktowana 31"/>
    <w:basedOn w:val="Normal"/>
    <w:qFormat/>
    <w:rsid w:val="009a6d41"/>
    <w:pPr>
      <w:spacing w:lineRule="auto" w:line="276" w:before="0" w:after="200"/>
    </w:pPr>
    <w:rPr>
      <w:rFonts w:ascii="Calibri" w:hAnsi="Calibri" w:eastAsia="Times New Roman" w:cs="Times New Roman"/>
      <w:kern w:val="2"/>
      <w:lang w:eastAsia="ar-SA"/>
    </w:rPr>
  </w:style>
  <w:style w:type="paragraph" w:styleId="Listakontynuacja1" w:customStyle="1">
    <w:name w:val="Lista - kontynuacja1"/>
    <w:basedOn w:val="Normal"/>
    <w:qFormat/>
    <w:rsid w:val="009a6d41"/>
    <w:pPr>
      <w:spacing w:lineRule="auto" w:line="276" w:before="0" w:after="200"/>
    </w:pPr>
    <w:rPr>
      <w:rFonts w:ascii="Calibri" w:hAnsi="Calibri" w:eastAsia="Times New Roman" w:cs="Times New Roman"/>
      <w:kern w:val="2"/>
      <w:lang w:eastAsia="ar-SA"/>
    </w:rPr>
  </w:style>
  <w:style w:type="paragraph" w:styleId="Nagwek22" w:customStyle="1">
    <w:name w:val="Nagłówek2"/>
    <w:basedOn w:val="Standard"/>
    <w:qFormat/>
    <w:rsid w:val="009a6d41"/>
    <w:pPr>
      <w:suppressLineNumbers/>
      <w:tabs>
        <w:tab w:val="clear" w:pos="708"/>
        <w:tab w:val="center" w:pos="4819" w:leader="none"/>
        <w:tab w:val="right" w:pos="9638" w:leader="none"/>
      </w:tabs>
      <w:suppressAutoHyphens w:val="false"/>
    </w:pPr>
    <w:rPr>
      <w:kern w:val="0"/>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a6d41"/>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9a6d4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9a6d4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odociagizorawina.pl/" TargetMode="External"/><Relationship Id="rId3" Type="http://schemas.openxmlformats.org/officeDocument/2006/relationships/hyperlink" Target="" TargetMode="External"/><Relationship Id="rId4" Type="http://schemas.openxmlformats.org/officeDocument/2006/relationships/hyperlink" Target="https://epuap.gov.pl/wps/portal" TargetMode="External"/><Relationship Id="rId5" Type="http://schemas.openxmlformats.org/officeDocument/2006/relationships/hyperlink" Target="mailto:przetargi@wodociagizorawina.pl" TargetMode="External"/><Relationship Id="rId6" Type="http://schemas.openxmlformats.org/officeDocument/2006/relationships/hyperlink" Target="" TargetMode="External"/><Relationship Id="rId7" Type="http://schemas.openxmlformats.org/officeDocument/2006/relationships/hyperlink" Target="https://wodociagizorawina.pl/przetargi/" TargetMode="External"/><Relationship Id="rId8" Type="http://schemas.openxmlformats.org/officeDocument/2006/relationships/hyperlink" Target="https://wodociagizorawina.pl/przetargi/" TargetMode="External"/><Relationship Id="rId9"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1" Type="http://schemas.openxmlformats.org/officeDocument/2006/relationships/hyperlink" Target="https://miniportal.uzp.gov.pl/WarunkiUslugi" TargetMode="External"/><Relationship Id="rId12" Type="http://schemas.openxmlformats.org/officeDocument/2006/relationships/hyperlink" Target="http://www.gov.pl/web/gov/warunki-korzystania" TargetMode="External"/><Relationship Id="rId13" Type="http://schemas.openxmlformats.org/officeDocument/2006/relationships/image" Target="media/image1.jpeg"/><Relationship Id="rId14" Type="http://schemas.openxmlformats.org/officeDocument/2006/relationships/hyperlink" Target="mailto:wodociagizorawina@gmail.com" TargetMode="External"/><Relationship Id="rId15" Type="http://schemas.openxmlformats.org/officeDocument/2006/relationships/hyperlink" Target="https://miniportal.uzp.gov.pl/" TargetMode="External"/><Relationship Id="rId16" Type="http://schemas.openxmlformats.org/officeDocument/2006/relationships/hyperlink" Target="https://epuap.gov.pl/wps/portal" TargetMode="External"/><Relationship Id="rId17" Type="http://schemas.openxmlformats.org/officeDocument/2006/relationships/hyperlink" Target="mailto:przetragi@wodociagizorawina.pl" TargetMode="External"/><Relationship Id="rId18" Type="http://schemas.openxmlformats.org/officeDocument/2006/relationships/hyperlink" Target="mailto:kierownikbok@wodociagizorawina" TargetMode="External"/><Relationship Id="rId19" Type="http://schemas.openxmlformats.org/officeDocument/2006/relationships/header" Target="head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LibreOffice/7.1.5.2$Windows_X86_64 LibreOffice_project/85f04e9f809797b8199d13c421bd8a2b025d52b5</Application>
  <AppVersion>15.0000</AppVersion>
  <DocSecurity>0</DocSecurity>
  <Pages>42</Pages>
  <Words>13317</Words>
  <Characters>86139</Characters>
  <CharactersWithSpaces>99628</CharactersWithSpaces>
  <Paragraphs>804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2022-11-22T11:34:00Z</dcterms:created>
  <dc:creator>Agnieszka Kostarelas-Filip</dc:creator>
  <dc:description/>
  <dc:language>pl-PL</dc:language>
  <cp:lastModifiedBy/>
  <dcterms:modified xsi:type="dcterms:W3CDTF">2022-11-24T08:01:02Z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